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8" w:type="dxa"/>
        <w:jc w:val="center"/>
        <w:tblCellMar>
          <w:left w:w="70" w:type="dxa"/>
          <w:right w:w="70" w:type="dxa"/>
        </w:tblCellMar>
        <w:tblLook w:val="0000" w:firstRow="0" w:lastRow="0" w:firstColumn="0" w:lastColumn="0" w:noHBand="0" w:noVBand="0"/>
      </w:tblPr>
      <w:tblGrid>
        <w:gridCol w:w="1445"/>
        <w:gridCol w:w="1376"/>
        <w:gridCol w:w="1284"/>
        <w:gridCol w:w="2609"/>
        <w:gridCol w:w="1291"/>
        <w:gridCol w:w="1623"/>
      </w:tblGrid>
      <w:tr w:rsidR="003D3D8E" w:rsidRPr="004225B1" w:rsidTr="00C20968">
        <w:trPr>
          <w:trHeight w:val="1119"/>
          <w:jc w:val="center"/>
        </w:trPr>
        <w:tc>
          <w:tcPr>
            <w:tcW w:w="1445" w:type="dxa"/>
            <w:vAlign w:val="center"/>
          </w:tcPr>
          <w:p w:rsidR="003D3D8E" w:rsidRPr="004225B1" w:rsidRDefault="003D3D8E" w:rsidP="00C20968">
            <w:pPr>
              <w:jc w:val="center"/>
              <w:rPr>
                <w:rFonts w:cs="Calibri"/>
              </w:rPr>
            </w:pPr>
            <w:r w:rsidRPr="004225B1">
              <w:rPr>
                <w:rFonts w:cs="Calibri"/>
                <w:noProof/>
              </w:rPr>
              <w:drawing>
                <wp:inline distT="0" distB="0" distL="0" distR="0">
                  <wp:extent cx="561975" cy="366402"/>
                  <wp:effectExtent l="0" t="0" r="0" b="0"/>
                  <wp:docPr id="1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167" cy="371091"/>
                          </a:xfrm>
                          <a:prstGeom prst="rect">
                            <a:avLst/>
                          </a:prstGeom>
                          <a:noFill/>
                          <a:ln>
                            <a:noFill/>
                          </a:ln>
                          <a:extLst/>
                        </pic:spPr>
                      </pic:pic>
                    </a:graphicData>
                  </a:graphic>
                </wp:inline>
              </w:drawing>
            </w:r>
          </w:p>
        </w:tc>
        <w:tc>
          <w:tcPr>
            <w:tcW w:w="1376" w:type="dxa"/>
            <w:vAlign w:val="center"/>
          </w:tcPr>
          <w:p w:rsidR="003D3D8E" w:rsidRPr="004225B1" w:rsidRDefault="003D3D8E" w:rsidP="00C20968">
            <w:pPr>
              <w:jc w:val="center"/>
              <w:rPr>
                <w:rFonts w:cs="Calibri"/>
                <w:noProof/>
              </w:rPr>
            </w:pPr>
            <w:r w:rsidRPr="004225B1">
              <w:rPr>
                <w:rFonts w:cs="Calibri"/>
                <w:noProof/>
              </w:rPr>
              <w:drawing>
                <wp:inline distT="0" distB="0" distL="0" distR="0">
                  <wp:extent cx="447675" cy="414802"/>
                  <wp:effectExtent l="0" t="0" r="0" b="4445"/>
                  <wp:docPr id="5" name="Immagine 5" descr="http://www.regione.piemonte.it/agri/psr2014_20/im/Logo_Leader_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ione.piemonte.it/agri/psr2014_20/im/Logo_Leader_Plus.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455568" cy="422116"/>
                          </a:xfrm>
                          <a:prstGeom prst="rect">
                            <a:avLst/>
                          </a:prstGeom>
                          <a:noFill/>
                          <a:ln>
                            <a:noFill/>
                          </a:ln>
                        </pic:spPr>
                      </pic:pic>
                    </a:graphicData>
                  </a:graphic>
                </wp:inline>
              </w:drawing>
            </w:r>
          </w:p>
        </w:tc>
        <w:tc>
          <w:tcPr>
            <w:tcW w:w="1284" w:type="dxa"/>
            <w:vAlign w:val="center"/>
          </w:tcPr>
          <w:p w:rsidR="003D3D8E" w:rsidRPr="004225B1" w:rsidRDefault="003D3D8E" w:rsidP="00C20968">
            <w:pPr>
              <w:jc w:val="center"/>
              <w:rPr>
                <w:rFonts w:cs="Calibri"/>
                <w:noProof/>
              </w:rPr>
            </w:pPr>
            <w:r w:rsidRPr="004225B1">
              <w:rPr>
                <w:rFonts w:cs="Calibri"/>
                <w:noProof/>
              </w:rPr>
              <w:drawing>
                <wp:inline distT="0" distB="0" distL="0" distR="0">
                  <wp:extent cx="481330" cy="541496"/>
                  <wp:effectExtent l="0" t="0" r="0" b="0"/>
                  <wp:docPr id="9" name="Immagine 9" descr="C:\Users\silvia.visca\Dropbox\GAL\Generale\Loghi\Repubblica Ital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via.visca\Dropbox\GAL\Generale\Loghi\Repubblica Italiana.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flipH="1">
                            <a:off x="0" y="0"/>
                            <a:ext cx="490105" cy="551368"/>
                          </a:xfrm>
                          <a:prstGeom prst="rect">
                            <a:avLst/>
                          </a:prstGeom>
                          <a:noFill/>
                          <a:ln>
                            <a:noFill/>
                          </a:ln>
                        </pic:spPr>
                      </pic:pic>
                    </a:graphicData>
                  </a:graphic>
                </wp:inline>
              </w:drawing>
            </w:r>
          </w:p>
        </w:tc>
        <w:tc>
          <w:tcPr>
            <w:tcW w:w="2609" w:type="dxa"/>
            <w:vAlign w:val="center"/>
          </w:tcPr>
          <w:p w:rsidR="003D3D8E" w:rsidRPr="004225B1" w:rsidRDefault="003D3D8E" w:rsidP="00C20968">
            <w:pPr>
              <w:jc w:val="center"/>
              <w:rPr>
                <w:rFonts w:cs="Calibri"/>
                <w:noProof/>
              </w:rPr>
            </w:pPr>
            <w:r w:rsidRPr="004225B1">
              <w:rPr>
                <w:rFonts w:cs="Calibri"/>
                <w:noProof/>
              </w:rPr>
              <w:drawing>
                <wp:inline distT="0" distB="0" distL="0" distR="0">
                  <wp:extent cx="1390650" cy="426833"/>
                  <wp:effectExtent l="0" t="0" r="0" b="0"/>
                  <wp:docPr id="1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7772" cy="432088"/>
                          </a:xfrm>
                          <a:prstGeom prst="rect">
                            <a:avLst/>
                          </a:prstGeom>
                          <a:noFill/>
                          <a:ln>
                            <a:noFill/>
                          </a:ln>
                          <a:extLst/>
                        </pic:spPr>
                      </pic:pic>
                    </a:graphicData>
                  </a:graphic>
                </wp:inline>
              </w:drawing>
            </w:r>
          </w:p>
        </w:tc>
        <w:tc>
          <w:tcPr>
            <w:tcW w:w="1291" w:type="dxa"/>
          </w:tcPr>
          <w:p w:rsidR="003D3D8E" w:rsidRPr="004225B1" w:rsidRDefault="003D3D8E" w:rsidP="00C20968">
            <w:pPr>
              <w:jc w:val="center"/>
              <w:rPr>
                <w:rFonts w:cs="Calibri"/>
                <w:noProof/>
              </w:rPr>
            </w:pPr>
            <w:r w:rsidRPr="004225B1">
              <w:rPr>
                <w:rFonts w:cs="Calibri"/>
                <w:noProof/>
              </w:rPr>
              <w:drawing>
                <wp:inline distT="0" distB="0" distL="0" distR="0">
                  <wp:extent cx="635404" cy="71384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4626" cy="724209"/>
                          </a:xfrm>
                          <a:prstGeom prst="rect">
                            <a:avLst/>
                          </a:prstGeom>
                          <a:noFill/>
                          <a:ln>
                            <a:noFill/>
                          </a:ln>
                        </pic:spPr>
                      </pic:pic>
                    </a:graphicData>
                  </a:graphic>
                </wp:inline>
              </w:drawing>
            </w:r>
          </w:p>
        </w:tc>
        <w:tc>
          <w:tcPr>
            <w:tcW w:w="1623" w:type="dxa"/>
            <w:vAlign w:val="center"/>
          </w:tcPr>
          <w:p w:rsidR="003D3D8E" w:rsidRPr="004225B1" w:rsidRDefault="003D3D8E" w:rsidP="00C20968">
            <w:pPr>
              <w:jc w:val="center"/>
              <w:rPr>
                <w:rFonts w:cs="Calibri"/>
                <w:noProof/>
              </w:rPr>
            </w:pPr>
            <w:r w:rsidRPr="004225B1">
              <w:rPr>
                <w:rFonts w:cs="Calibri"/>
                <w:noProof/>
              </w:rPr>
              <w:drawing>
                <wp:inline distT="0" distB="0" distL="0" distR="0">
                  <wp:extent cx="876300" cy="432785"/>
                  <wp:effectExtent l="0" t="0" r="0" b="5715"/>
                  <wp:docPr id="29" name="Immagine 117" descr="marchioG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7" descr="marchioGL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3482" cy="436332"/>
                          </a:xfrm>
                          <a:prstGeom prst="rect">
                            <a:avLst/>
                          </a:prstGeom>
                          <a:noFill/>
                          <a:ln>
                            <a:noFill/>
                          </a:ln>
                        </pic:spPr>
                      </pic:pic>
                    </a:graphicData>
                  </a:graphic>
                </wp:inline>
              </w:drawing>
            </w:r>
          </w:p>
        </w:tc>
      </w:tr>
    </w:tbl>
    <w:p w:rsidR="006126DA" w:rsidRPr="00B814F7" w:rsidRDefault="006126DA" w:rsidP="006126DA">
      <w:pPr>
        <w:pStyle w:val="Nessunaspaziatura"/>
        <w:jc w:val="center"/>
        <w:rPr>
          <w:rFonts w:ascii="Calibri" w:hAnsi="Calibri" w:cs="Calibri"/>
          <w:b/>
          <w:sz w:val="20"/>
          <w:szCs w:val="20"/>
        </w:rPr>
      </w:pPr>
      <w:bookmarkStart w:id="0" w:name="_Toc476668199"/>
      <w:r w:rsidRPr="00B814F7">
        <w:rPr>
          <w:rFonts w:ascii="Calibri" w:hAnsi="Calibri" w:cs="Calibri"/>
          <w:b/>
          <w:sz w:val="20"/>
          <w:szCs w:val="20"/>
        </w:rPr>
        <w:t>FEASR – FONDO EUROPEO AGRICOLO PER LO SVILUPPO RURALE</w:t>
      </w:r>
      <w:bookmarkEnd w:id="0"/>
      <w:r w:rsidR="001E1167">
        <w:rPr>
          <w:rFonts w:ascii="Calibri" w:hAnsi="Calibri" w:cs="Calibri"/>
          <w:b/>
          <w:sz w:val="20"/>
          <w:szCs w:val="20"/>
        </w:rPr>
        <w:t xml:space="preserve"> - </w:t>
      </w:r>
      <w:bookmarkStart w:id="1" w:name="_Toc476668200"/>
      <w:r w:rsidRPr="00B814F7">
        <w:rPr>
          <w:rFonts w:ascii="Calibri" w:hAnsi="Calibri" w:cs="Calibri"/>
          <w:b/>
          <w:sz w:val="20"/>
          <w:szCs w:val="20"/>
        </w:rPr>
        <w:t>Programma di Sviluppo Rurale 2014-2020</w:t>
      </w:r>
      <w:bookmarkEnd w:id="1"/>
    </w:p>
    <w:p w:rsidR="006126DA" w:rsidRPr="00B814F7" w:rsidRDefault="006126DA" w:rsidP="006126DA">
      <w:pPr>
        <w:rPr>
          <w:rFonts w:cs="Calibri"/>
          <w:sz w:val="10"/>
          <w:szCs w:val="10"/>
        </w:rPr>
      </w:pPr>
    </w:p>
    <w:p w:rsidR="006126DA" w:rsidRPr="00B814F7" w:rsidRDefault="006126DA" w:rsidP="006126DA">
      <w:pPr>
        <w:jc w:val="center"/>
        <w:rPr>
          <w:rFonts w:cs="Calibri"/>
          <w:b/>
        </w:rPr>
      </w:pPr>
      <w:r w:rsidRPr="00B814F7">
        <w:rPr>
          <w:rFonts w:cs="Calibri"/>
          <w:b/>
          <w:sz w:val="26"/>
          <w:szCs w:val="26"/>
        </w:rPr>
        <w:t xml:space="preserve">GAL Langhe Roero Leader </w:t>
      </w:r>
      <w:proofErr w:type="spellStart"/>
      <w:r w:rsidRPr="00B814F7">
        <w:rPr>
          <w:rFonts w:cs="Calibri"/>
          <w:b/>
          <w:sz w:val="26"/>
          <w:szCs w:val="26"/>
        </w:rPr>
        <w:t>s.c.a.r.l</w:t>
      </w:r>
      <w:proofErr w:type="spellEnd"/>
      <w:r w:rsidRPr="00B814F7">
        <w:rPr>
          <w:rFonts w:cs="Calibri"/>
          <w:b/>
          <w:sz w:val="26"/>
          <w:szCs w:val="26"/>
        </w:rPr>
        <w:t>.</w:t>
      </w:r>
      <w:r w:rsidR="001E1167">
        <w:rPr>
          <w:rFonts w:cs="Calibri"/>
          <w:b/>
          <w:sz w:val="26"/>
          <w:szCs w:val="26"/>
        </w:rPr>
        <w:t xml:space="preserve"> - </w:t>
      </w:r>
      <w:r w:rsidRPr="00B814F7">
        <w:rPr>
          <w:rFonts w:cs="Calibri"/>
          <w:b/>
        </w:rPr>
        <w:t xml:space="preserve">BANDO PUBBLICO </w:t>
      </w:r>
      <w:r w:rsidRPr="001E3F29">
        <w:rPr>
          <w:rFonts w:cs="Calibri"/>
          <w:b/>
        </w:rPr>
        <w:t>N. 1/2019 – OPERAZIONE</w:t>
      </w:r>
      <w:r w:rsidR="001E1167">
        <w:rPr>
          <w:rFonts w:cs="Calibri"/>
          <w:b/>
        </w:rPr>
        <w:t xml:space="preserve"> 7.6.4</w:t>
      </w:r>
    </w:p>
    <w:p w:rsidR="009E763C" w:rsidRDefault="009E763C" w:rsidP="009E763C">
      <w:pPr>
        <w:jc w:val="center"/>
        <w:rPr>
          <w:rFonts w:cs="Calibri"/>
          <w:b/>
        </w:rPr>
      </w:pPr>
    </w:p>
    <w:tbl>
      <w:tblPr>
        <w:tblStyle w:val="Grigliatabella"/>
        <w:tblW w:w="0" w:type="auto"/>
        <w:shd w:val="clear" w:color="auto" w:fill="D2E7C3"/>
        <w:tblLook w:val="04A0" w:firstRow="1" w:lastRow="0" w:firstColumn="1" w:lastColumn="0" w:noHBand="0" w:noVBand="1"/>
      </w:tblPr>
      <w:tblGrid>
        <w:gridCol w:w="9854"/>
      </w:tblGrid>
      <w:tr w:rsidR="009E763C" w:rsidRPr="004225B1" w:rsidTr="0091458A">
        <w:tc>
          <w:tcPr>
            <w:tcW w:w="9854" w:type="dxa"/>
            <w:shd w:val="clear" w:color="auto" w:fill="DEEAF6" w:themeFill="accent1" w:themeFillTint="33"/>
          </w:tcPr>
          <w:p w:rsidR="00FF7D02" w:rsidRDefault="00B93B5F" w:rsidP="00A84BAD">
            <w:pPr>
              <w:spacing w:before="120" w:after="120"/>
              <w:jc w:val="center"/>
              <w:rPr>
                <w:rFonts w:cs="Calibri"/>
                <w:b/>
                <w:bCs/>
                <w:sz w:val="28"/>
                <w:szCs w:val="28"/>
                <w:lang w:val="it-IT"/>
              </w:rPr>
            </w:pPr>
            <w:r>
              <w:rPr>
                <w:rFonts w:cs="Calibri"/>
                <w:b/>
                <w:bCs/>
                <w:sz w:val="28"/>
                <w:szCs w:val="28"/>
                <w:lang w:val="it-IT"/>
              </w:rPr>
              <w:t>APPENDICE A</w:t>
            </w:r>
          </w:p>
          <w:p w:rsidR="009E763C" w:rsidRPr="004225B1" w:rsidRDefault="00FF7D02" w:rsidP="00A84BAD">
            <w:pPr>
              <w:spacing w:before="120" w:after="120"/>
              <w:jc w:val="center"/>
              <w:rPr>
                <w:rFonts w:cs="Calibri"/>
                <w:b/>
                <w:bCs/>
                <w:sz w:val="28"/>
                <w:szCs w:val="28"/>
                <w:lang w:val="it-IT"/>
              </w:rPr>
            </w:pPr>
            <w:r w:rsidRPr="00FF7D02">
              <w:rPr>
                <w:rFonts w:cs="Calibri"/>
                <w:b/>
                <w:bCs/>
                <w:sz w:val="28"/>
                <w:szCs w:val="28"/>
                <w:lang w:val="it-IT"/>
              </w:rPr>
              <w:t>Art. 61 del Reg. (UE) n. 1303/2013 (ENTRATE NETTE)</w:t>
            </w:r>
            <w:r w:rsidR="00A84BAD">
              <w:rPr>
                <w:rFonts w:cs="Calibri"/>
                <w:b/>
                <w:bCs/>
                <w:sz w:val="28"/>
                <w:szCs w:val="28"/>
                <w:lang w:val="it-IT"/>
              </w:rPr>
              <w:t xml:space="preserve"> </w:t>
            </w:r>
          </w:p>
        </w:tc>
      </w:tr>
    </w:tbl>
    <w:p w:rsidR="009E763C" w:rsidRDefault="009E763C" w:rsidP="009E763C">
      <w:pPr>
        <w:jc w:val="center"/>
        <w:rPr>
          <w:rFonts w:cs="Calibri"/>
        </w:rPr>
      </w:pPr>
    </w:p>
    <w:p w:rsidR="0027431E" w:rsidRPr="00FF7D02" w:rsidRDefault="0027431E" w:rsidP="000F5AE9">
      <w:pPr>
        <w:tabs>
          <w:tab w:val="left" w:pos="0"/>
        </w:tabs>
        <w:spacing w:line="222" w:lineRule="auto"/>
        <w:ind w:right="140" w:hanging="4"/>
        <w:rPr>
          <w:rFonts w:eastAsia="Corbel" w:cs="Calibri"/>
        </w:rPr>
      </w:pPr>
    </w:p>
    <w:p w:rsidR="00FF7D02" w:rsidRPr="00FF7D02" w:rsidRDefault="00FF7D02" w:rsidP="00FF7D02">
      <w:pPr>
        <w:pStyle w:val="CM4"/>
        <w:spacing w:before="60" w:after="60"/>
        <w:jc w:val="both"/>
        <w:rPr>
          <w:rFonts w:ascii="Calibri" w:hAnsi="Calibri" w:cs="EUAlbertina"/>
          <w:color w:val="000000"/>
          <w:sz w:val="20"/>
          <w:szCs w:val="20"/>
        </w:rPr>
      </w:pPr>
      <w:r w:rsidRPr="00FF7D02">
        <w:rPr>
          <w:rFonts w:ascii="Calibri" w:hAnsi="Calibri" w:cs="EUAlbertina"/>
          <w:i/>
          <w:iCs/>
          <w:color w:val="000000"/>
          <w:sz w:val="20"/>
          <w:szCs w:val="20"/>
        </w:rPr>
        <w:t xml:space="preserve">Articolo 61 </w:t>
      </w:r>
    </w:p>
    <w:p w:rsidR="00FF7D02" w:rsidRPr="00FF7D02" w:rsidRDefault="00FF7D02" w:rsidP="00FF7D02">
      <w:pPr>
        <w:pStyle w:val="CM4"/>
        <w:spacing w:before="60" w:after="60"/>
        <w:jc w:val="both"/>
        <w:rPr>
          <w:rFonts w:ascii="Calibri" w:hAnsi="Calibri" w:cs="EUAlbertina"/>
          <w:color w:val="000000"/>
          <w:sz w:val="20"/>
          <w:szCs w:val="20"/>
        </w:rPr>
      </w:pPr>
      <w:r w:rsidRPr="00FF7D02">
        <w:rPr>
          <w:rFonts w:ascii="Calibri" w:hAnsi="Calibri" w:cs="EUAlbertina"/>
          <w:b/>
          <w:bCs/>
          <w:color w:val="000000"/>
          <w:sz w:val="20"/>
          <w:szCs w:val="20"/>
        </w:rPr>
        <w:t xml:space="preserve">Operazioni che generano entrate nette dopo il loro completamento </w:t>
      </w:r>
    </w:p>
    <w:p w:rsidR="00401CE2" w:rsidRDefault="00FF7D02" w:rsidP="00FF7D02">
      <w:pPr>
        <w:pStyle w:val="CM4"/>
        <w:numPr>
          <w:ilvl w:val="0"/>
          <w:numId w:val="32"/>
        </w:numPr>
        <w:spacing w:before="60" w:after="60"/>
        <w:ind w:left="426"/>
        <w:jc w:val="both"/>
        <w:rPr>
          <w:rFonts w:ascii="Calibri" w:hAnsi="Calibri" w:cs="EUAlbertina"/>
          <w:color w:val="000000"/>
          <w:sz w:val="20"/>
          <w:szCs w:val="20"/>
        </w:rPr>
      </w:pPr>
      <w:r w:rsidRPr="00FF7D02">
        <w:rPr>
          <w:rFonts w:ascii="Calibri" w:hAnsi="Calibri" w:cs="EUAlbertina"/>
          <w:color w:val="000000"/>
          <w:sz w:val="20"/>
          <w:szCs w:val="20"/>
        </w:rPr>
        <w:t>Il presente articolo si applica alle operazioni che generano entrate nette dopo il loro complet</w:t>
      </w:r>
      <w:bookmarkStart w:id="2" w:name="_GoBack"/>
      <w:bookmarkEnd w:id="2"/>
      <w:r w:rsidRPr="00FF7D02">
        <w:rPr>
          <w:rFonts w:ascii="Calibri" w:hAnsi="Calibri" w:cs="EUAlbertina"/>
          <w:color w:val="000000"/>
          <w:sz w:val="20"/>
          <w:szCs w:val="20"/>
        </w:rPr>
        <w:t xml:space="preserve">amento. Ai fini del presente articolo, per </w:t>
      </w:r>
      <w:r w:rsidRPr="00FF7D02">
        <w:rPr>
          <w:rFonts w:ascii="Calibri" w:hAnsi="Calibri" w:cs="Helvetica Linotype"/>
          <w:color w:val="000000"/>
          <w:sz w:val="20"/>
          <w:szCs w:val="20"/>
        </w:rPr>
        <w:t>"</w:t>
      </w:r>
      <w:r w:rsidRPr="00FF7D02">
        <w:rPr>
          <w:rFonts w:ascii="Calibri" w:hAnsi="Calibri" w:cs="EUAlbertina"/>
          <w:color w:val="000000"/>
          <w:sz w:val="20"/>
          <w:szCs w:val="20"/>
        </w:rPr>
        <w:t>entrate nette</w:t>
      </w:r>
      <w:r w:rsidRPr="00FF7D02">
        <w:rPr>
          <w:rFonts w:ascii="Calibri" w:hAnsi="Calibri" w:cs="Helvetica Linotype"/>
          <w:color w:val="000000"/>
          <w:sz w:val="20"/>
          <w:szCs w:val="20"/>
        </w:rPr>
        <w:t xml:space="preserve">" </w:t>
      </w:r>
      <w:r w:rsidRPr="00FF7D02">
        <w:rPr>
          <w:rFonts w:ascii="Calibri" w:hAnsi="Calibri" w:cs="EUAlbertina"/>
          <w:color w:val="000000"/>
          <w:sz w:val="20"/>
          <w:szCs w:val="20"/>
        </w:rPr>
        <w:t xml:space="preserve">si intendono i flussi finanziari in entrata pagati direttamente dagli utenti per beni o servizi forniti dall'operazione, quali le tariffe direttamente a carico degli utenti per l'utilizzo dell'infrastruttura, la vendita o la locazione di terreni o immobili o i pagamenti per i servizi detratti gli eventuali costi operativi e costi di sostituzione di attrezzature con ciclo di vita breve sostenuti durante il periodo corrispondente. I risparmi sui costi operativi generati dall'operazione o sono trattati come entrate nette a meno che non siano compensati da una pari riduzione delle sovvenzioni per il funzionamento. </w:t>
      </w:r>
    </w:p>
    <w:p w:rsidR="00FF7D02" w:rsidRPr="00401CE2" w:rsidRDefault="00FF7D02" w:rsidP="00401CE2">
      <w:pPr>
        <w:pStyle w:val="CM4"/>
        <w:spacing w:before="60" w:after="60"/>
        <w:ind w:left="426"/>
        <w:jc w:val="both"/>
        <w:rPr>
          <w:rFonts w:ascii="Calibri" w:hAnsi="Calibri" w:cs="EUAlbertina"/>
          <w:color w:val="000000"/>
          <w:sz w:val="20"/>
          <w:szCs w:val="20"/>
        </w:rPr>
      </w:pPr>
      <w:r w:rsidRPr="00401CE2">
        <w:rPr>
          <w:rFonts w:ascii="Calibri" w:hAnsi="Calibri" w:cs="EUAlbertina"/>
          <w:color w:val="000000"/>
          <w:sz w:val="20"/>
          <w:szCs w:val="20"/>
        </w:rPr>
        <w:t xml:space="preserve">Qualora il costo d'investimento non sia integralmente ammissibile al cofinanziamento, le entrate nette sono imputate con calcolo pro rata alla parte ammissibile e a quella non ammissibile del costo d'investimento. </w:t>
      </w:r>
    </w:p>
    <w:p w:rsidR="00FF7D02" w:rsidRPr="00FF7D02" w:rsidRDefault="00FF7D02" w:rsidP="00401CE2">
      <w:pPr>
        <w:pStyle w:val="CM4"/>
        <w:numPr>
          <w:ilvl w:val="0"/>
          <w:numId w:val="32"/>
        </w:numPr>
        <w:spacing w:before="60" w:after="60"/>
        <w:ind w:left="426"/>
        <w:jc w:val="both"/>
        <w:rPr>
          <w:rFonts w:ascii="Calibri" w:hAnsi="Calibri" w:cs="EUAlbertina"/>
          <w:color w:val="000000"/>
          <w:sz w:val="20"/>
          <w:szCs w:val="20"/>
        </w:rPr>
      </w:pPr>
      <w:r w:rsidRPr="00FF7D02">
        <w:rPr>
          <w:rFonts w:ascii="Calibri" w:hAnsi="Calibri" w:cs="EUAlbertina"/>
          <w:color w:val="000000"/>
          <w:sz w:val="20"/>
          <w:szCs w:val="20"/>
        </w:rPr>
        <w:t xml:space="preserve">La spesa ammissibile dell'operazione o cofinanziata dai fondi SIE è ridotta anticipatamente tenendo conto della capacità potenziale dell'operazione di generare entrate nette in uno specifico periodo di riferimento che copre sia l'esecuzione dell'operazione sia il periodo successivo al suo completamento. </w:t>
      </w:r>
    </w:p>
    <w:p w:rsidR="00FF7D02" w:rsidRPr="00FF7D02" w:rsidRDefault="00FF7D02" w:rsidP="00401CE2">
      <w:pPr>
        <w:pStyle w:val="CM4"/>
        <w:numPr>
          <w:ilvl w:val="0"/>
          <w:numId w:val="32"/>
        </w:numPr>
        <w:spacing w:before="60" w:after="60"/>
        <w:ind w:left="426"/>
        <w:jc w:val="both"/>
        <w:rPr>
          <w:rFonts w:ascii="Calibri" w:hAnsi="Calibri" w:cs="EUAlbertina"/>
          <w:color w:val="000000"/>
          <w:sz w:val="20"/>
          <w:szCs w:val="20"/>
        </w:rPr>
      </w:pPr>
      <w:r w:rsidRPr="00FF7D02">
        <w:rPr>
          <w:rFonts w:ascii="Calibri" w:hAnsi="Calibri" w:cs="EUAlbertina"/>
          <w:color w:val="000000"/>
          <w:sz w:val="20"/>
          <w:szCs w:val="20"/>
        </w:rPr>
        <w:t xml:space="preserve">Le entrate nette potenziali dell'operazione sono determinate in anticipo tramite uno dei seguenti metodi, scelto dall'autorità di gestione per un settore, </w:t>
      </w:r>
      <w:proofErr w:type="spellStart"/>
      <w:r w:rsidRPr="00FF7D02">
        <w:rPr>
          <w:rFonts w:ascii="Calibri" w:hAnsi="Calibri" w:cs="EUAlbertina"/>
          <w:color w:val="000000"/>
          <w:sz w:val="20"/>
          <w:szCs w:val="20"/>
        </w:rPr>
        <w:t>sottosettore</w:t>
      </w:r>
      <w:proofErr w:type="spellEnd"/>
      <w:r w:rsidRPr="00FF7D02">
        <w:rPr>
          <w:rFonts w:ascii="Calibri" w:hAnsi="Calibri" w:cs="EUAlbertina"/>
          <w:color w:val="000000"/>
          <w:sz w:val="20"/>
          <w:szCs w:val="20"/>
        </w:rPr>
        <w:t xml:space="preserve"> o tipo di operazione: </w:t>
      </w:r>
    </w:p>
    <w:p w:rsidR="00401CE2" w:rsidRDefault="00FF7D02" w:rsidP="00FF7D02">
      <w:pPr>
        <w:pStyle w:val="CM4"/>
        <w:numPr>
          <w:ilvl w:val="1"/>
          <w:numId w:val="33"/>
        </w:numPr>
        <w:spacing w:before="60" w:after="60"/>
        <w:ind w:left="851"/>
        <w:jc w:val="both"/>
        <w:rPr>
          <w:rFonts w:ascii="Calibri" w:hAnsi="Calibri" w:cs="EUAlbertina"/>
          <w:color w:val="000000"/>
          <w:sz w:val="20"/>
          <w:szCs w:val="20"/>
        </w:rPr>
      </w:pPr>
      <w:proofErr w:type="gramStart"/>
      <w:r w:rsidRPr="00FF7D02">
        <w:rPr>
          <w:rFonts w:ascii="Calibri" w:hAnsi="Calibri" w:cs="EUAlbertina"/>
          <w:color w:val="000000"/>
          <w:sz w:val="20"/>
          <w:szCs w:val="20"/>
        </w:rPr>
        <w:t>applicazione</w:t>
      </w:r>
      <w:proofErr w:type="gramEnd"/>
      <w:r w:rsidRPr="00FF7D02">
        <w:rPr>
          <w:rFonts w:ascii="Calibri" w:hAnsi="Calibri" w:cs="EUAlbertina"/>
          <w:color w:val="000000"/>
          <w:sz w:val="20"/>
          <w:szCs w:val="20"/>
        </w:rPr>
        <w:t xml:space="preserve"> di una percentuale forfettaria di entrate nette per il settore o </w:t>
      </w:r>
      <w:proofErr w:type="spellStart"/>
      <w:r w:rsidRPr="00FF7D02">
        <w:rPr>
          <w:rFonts w:ascii="Calibri" w:hAnsi="Calibri" w:cs="EUAlbertina"/>
          <w:color w:val="000000"/>
          <w:sz w:val="20"/>
          <w:szCs w:val="20"/>
        </w:rPr>
        <w:t>sottosettore</w:t>
      </w:r>
      <w:proofErr w:type="spellEnd"/>
      <w:r w:rsidRPr="00FF7D02">
        <w:rPr>
          <w:rFonts w:ascii="Calibri" w:hAnsi="Calibri" w:cs="EUAlbertina"/>
          <w:color w:val="000000"/>
          <w:sz w:val="20"/>
          <w:szCs w:val="20"/>
        </w:rPr>
        <w:t xml:space="preserve"> applicabile all'operazione secondo la definizione di cui all'allegato V o in uno degli atti delegati di cui al secondo, terzo e quarto comma; </w:t>
      </w:r>
    </w:p>
    <w:p w:rsidR="00FF7D02" w:rsidRPr="00401CE2" w:rsidRDefault="00FF7D02" w:rsidP="00FF7D02">
      <w:pPr>
        <w:pStyle w:val="CM4"/>
        <w:numPr>
          <w:ilvl w:val="1"/>
          <w:numId w:val="33"/>
        </w:numPr>
        <w:spacing w:before="60" w:after="60"/>
        <w:ind w:left="851"/>
        <w:jc w:val="both"/>
        <w:rPr>
          <w:rFonts w:ascii="Calibri" w:hAnsi="Calibri" w:cs="EUAlbertina"/>
          <w:color w:val="000000"/>
          <w:sz w:val="20"/>
          <w:szCs w:val="20"/>
        </w:rPr>
      </w:pPr>
      <w:proofErr w:type="gramStart"/>
      <w:r w:rsidRPr="00401CE2">
        <w:rPr>
          <w:rFonts w:ascii="Calibri" w:hAnsi="Calibri" w:cs="EUAlbertina"/>
          <w:color w:val="000000"/>
          <w:sz w:val="20"/>
          <w:szCs w:val="20"/>
        </w:rPr>
        <w:t>calcolo</w:t>
      </w:r>
      <w:proofErr w:type="gramEnd"/>
      <w:r w:rsidRPr="00401CE2">
        <w:rPr>
          <w:rFonts w:ascii="Calibri" w:hAnsi="Calibri" w:cs="EUAlbertina"/>
          <w:color w:val="000000"/>
          <w:sz w:val="20"/>
          <w:szCs w:val="20"/>
        </w:rPr>
        <w:t xml:space="preserve"> delle entrate nette attualizzate del funzionamento, tenendo conto del periodo di riferimento adeguato per il settore o </w:t>
      </w:r>
      <w:proofErr w:type="spellStart"/>
      <w:r w:rsidRPr="00401CE2">
        <w:rPr>
          <w:rFonts w:ascii="Calibri" w:hAnsi="Calibri" w:cs="EUAlbertina"/>
          <w:color w:val="000000"/>
          <w:sz w:val="20"/>
          <w:szCs w:val="20"/>
        </w:rPr>
        <w:t>sottosettore</w:t>
      </w:r>
      <w:proofErr w:type="spellEnd"/>
      <w:r w:rsidRPr="00401CE2">
        <w:rPr>
          <w:rFonts w:ascii="Calibri" w:hAnsi="Calibri" w:cs="EUAlbertina"/>
          <w:color w:val="000000"/>
          <w:sz w:val="20"/>
          <w:szCs w:val="20"/>
        </w:rPr>
        <w:t xml:space="preserve"> applicabile all'operazione, della redditività normalmente attesa per la categoria di investimento in questione, l'applicazione del principio </w:t>
      </w:r>
      <w:r w:rsidRPr="00401CE2">
        <w:rPr>
          <w:rFonts w:ascii="Calibri" w:hAnsi="Calibri" w:cs="Helvetica Linotype"/>
          <w:color w:val="000000"/>
          <w:sz w:val="20"/>
          <w:szCs w:val="20"/>
        </w:rPr>
        <w:t>"</w:t>
      </w:r>
      <w:r w:rsidRPr="00401CE2">
        <w:rPr>
          <w:rFonts w:ascii="Calibri" w:hAnsi="Calibri" w:cs="EUAlbertina"/>
          <w:color w:val="000000"/>
          <w:sz w:val="20"/>
          <w:szCs w:val="20"/>
        </w:rPr>
        <w:t>chi inquina paga</w:t>
      </w:r>
      <w:r w:rsidRPr="00401CE2">
        <w:rPr>
          <w:rFonts w:ascii="Calibri" w:hAnsi="Calibri" w:cs="Helvetica Linotype"/>
          <w:color w:val="000000"/>
          <w:sz w:val="20"/>
          <w:szCs w:val="20"/>
        </w:rPr>
        <w:t xml:space="preserve">" </w:t>
      </w:r>
      <w:r w:rsidRPr="00401CE2">
        <w:rPr>
          <w:rFonts w:ascii="Calibri" w:hAnsi="Calibri" w:cs="EUAlbertina"/>
          <w:color w:val="000000"/>
          <w:sz w:val="20"/>
          <w:szCs w:val="20"/>
        </w:rPr>
        <w:t xml:space="preserve">e, se del caso, di considerazioni di equità collegate alla prosperità relativa dello Stato membro o regione interessata. </w:t>
      </w:r>
    </w:p>
    <w:p w:rsidR="00FF7D02" w:rsidRPr="00FF7D02" w:rsidRDefault="00FF7D02" w:rsidP="00401CE2">
      <w:pPr>
        <w:pStyle w:val="CM4"/>
        <w:spacing w:before="60" w:after="60"/>
        <w:ind w:left="426"/>
        <w:jc w:val="both"/>
        <w:rPr>
          <w:rFonts w:ascii="Calibri" w:hAnsi="Calibri" w:cs="EUAlbertina"/>
          <w:color w:val="000000"/>
          <w:sz w:val="20"/>
          <w:szCs w:val="20"/>
        </w:rPr>
      </w:pPr>
      <w:r w:rsidRPr="00FF7D02">
        <w:rPr>
          <w:rFonts w:ascii="Calibri" w:hAnsi="Calibri" w:cs="EUAlbertina"/>
          <w:color w:val="000000"/>
          <w:sz w:val="20"/>
          <w:szCs w:val="20"/>
        </w:rPr>
        <w:t xml:space="preserve">Alla Commissione è conferito il potere di adottare atti delegati conformemente all'articolo 149 riguardo ai casi debitamente giustificati per modificare l'allegato V adeguando i tassi forfettari in esso stabiliti, tenendo conto dei dati storici, del potenziale di recupero dei costi e del principio </w:t>
      </w:r>
      <w:r w:rsidRPr="00FF7D02">
        <w:rPr>
          <w:rFonts w:ascii="Calibri" w:hAnsi="Calibri" w:cs="Helvetica Linotype"/>
          <w:color w:val="000000"/>
          <w:sz w:val="20"/>
          <w:szCs w:val="20"/>
        </w:rPr>
        <w:t>"</w:t>
      </w:r>
      <w:r w:rsidRPr="00FF7D02">
        <w:rPr>
          <w:rFonts w:ascii="Calibri" w:hAnsi="Calibri" w:cs="EUAlbertina"/>
          <w:color w:val="000000"/>
          <w:sz w:val="20"/>
          <w:szCs w:val="20"/>
        </w:rPr>
        <w:t>chi inquina paga</w:t>
      </w:r>
      <w:r w:rsidRPr="00FF7D02">
        <w:rPr>
          <w:rFonts w:ascii="Calibri" w:hAnsi="Calibri" w:cs="Helvetica Linotype"/>
          <w:color w:val="000000"/>
          <w:sz w:val="20"/>
          <w:szCs w:val="20"/>
        </w:rPr>
        <w:t>"</w:t>
      </w:r>
      <w:r w:rsidRPr="00FF7D02">
        <w:rPr>
          <w:rFonts w:ascii="Calibri" w:hAnsi="Calibri" w:cs="EUAlbertina"/>
          <w:color w:val="000000"/>
          <w:sz w:val="20"/>
          <w:szCs w:val="20"/>
        </w:rPr>
        <w:t xml:space="preserve">, se del caso. </w:t>
      </w:r>
    </w:p>
    <w:p w:rsidR="00FF7D02" w:rsidRPr="00FF7D02" w:rsidRDefault="00FF7D02" w:rsidP="00401CE2">
      <w:pPr>
        <w:pStyle w:val="CM4"/>
        <w:spacing w:before="60" w:after="60"/>
        <w:ind w:left="426"/>
        <w:jc w:val="both"/>
        <w:rPr>
          <w:rFonts w:ascii="Calibri" w:hAnsi="Calibri" w:cs="EUAlbertina"/>
          <w:color w:val="000000"/>
          <w:sz w:val="20"/>
          <w:szCs w:val="20"/>
        </w:rPr>
      </w:pPr>
      <w:r w:rsidRPr="00FF7D02">
        <w:rPr>
          <w:rFonts w:ascii="Calibri" w:hAnsi="Calibri" w:cs="EUAlbertina"/>
          <w:color w:val="000000"/>
          <w:sz w:val="20"/>
          <w:szCs w:val="20"/>
        </w:rPr>
        <w:t xml:space="preserve">Alla Commissione è conferito il potere di adottare atti delegati conformemente all'articolo 149 riguardo ai tassi forfettari per settori o </w:t>
      </w:r>
      <w:proofErr w:type="spellStart"/>
      <w:r w:rsidRPr="00FF7D02">
        <w:rPr>
          <w:rFonts w:ascii="Calibri" w:hAnsi="Calibri" w:cs="EUAlbertina"/>
          <w:color w:val="000000"/>
          <w:sz w:val="20"/>
          <w:szCs w:val="20"/>
        </w:rPr>
        <w:t>sottosettori</w:t>
      </w:r>
      <w:proofErr w:type="spellEnd"/>
      <w:r w:rsidRPr="00FF7D02">
        <w:rPr>
          <w:rFonts w:ascii="Calibri" w:hAnsi="Calibri" w:cs="EUAlbertina"/>
          <w:color w:val="000000"/>
          <w:sz w:val="20"/>
          <w:szCs w:val="20"/>
        </w:rPr>
        <w:t xml:space="preserve"> nel campo delle TIC, della RSI nonché dell'efficienza energetica. La Commissione notifica gli atti delegati al Parlamento europeo e al Consiglio entro il 30 giugno 2015. </w:t>
      </w:r>
    </w:p>
    <w:p w:rsidR="00FF7D02" w:rsidRPr="00FF7D02" w:rsidRDefault="00FF7D02" w:rsidP="00401CE2">
      <w:pPr>
        <w:pStyle w:val="CM4"/>
        <w:spacing w:before="60" w:after="60"/>
        <w:ind w:left="426"/>
        <w:jc w:val="both"/>
        <w:rPr>
          <w:rFonts w:ascii="Calibri" w:hAnsi="Calibri" w:cs="EUAlbertina"/>
          <w:color w:val="000000"/>
          <w:sz w:val="20"/>
          <w:szCs w:val="20"/>
        </w:rPr>
      </w:pPr>
      <w:r w:rsidRPr="00FF7D02">
        <w:rPr>
          <w:rFonts w:ascii="Calibri" w:hAnsi="Calibri" w:cs="EUAlbertina"/>
          <w:color w:val="000000"/>
          <w:sz w:val="20"/>
          <w:szCs w:val="20"/>
        </w:rPr>
        <w:t xml:space="preserve">Alla Commissione è altresì conferito il potere di adottare atti delegati conformemente all'articolo 149 in casi debitamente giustificati per quanto riguarda l'aggiunta di settori o </w:t>
      </w:r>
      <w:proofErr w:type="spellStart"/>
      <w:r w:rsidRPr="00FF7D02">
        <w:rPr>
          <w:rFonts w:ascii="Calibri" w:hAnsi="Calibri" w:cs="EUAlbertina"/>
          <w:color w:val="000000"/>
          <w:sz w:val="20"/>
          <w:szCs w:val="20"/>
        </w:rPr>
        <w:t>sottosettori</w:t>
      </w:r>
      <w:proofErr w:type="spellEnd"/>
      <w:r w:rsidRPr="00FF7D02">
        <w:rPr>
          <w:rFonts w:ascii="Calibri" w:hAnsi="Calibri" w:cs="EUAlbertina"/>
          <w:color w:val="000000"/>
          <w:sz w:val="20"/>
          <w:szCs w:val="20"/>
        </w:rPr>
        <w:t xml:space="preserve">, compresi i </w:t>
      </w:r>
      <w:proofErr w:type="spellStart"/>
      <w:r w:rsidRPr="00FF7D02">
        <w:rPr>
          <w:rFonts w:ascii="Calibri" w:hAnsi="Calibri" w:cs="EUAlbertina"/>
          <w:color w:val="000000"/>
          <w:sz w:val="20"/>
          <w:szCs w:val="20"/>
        </w:rPr>
        <w:t>sottosettori</w:t>
      </w:r>
      <w:proofErr w:type="spellEnd"/>
      <w:r w:rsidRPr="00FF7D02">
        <w:rPr>
          <w:rFonts w:ascii="Calibri" w:hAnsi="Calibri" w:cs="EUAlbertina"/>
          <w:color w:val="000000"/>
          <w:sz w:val="20"/>
          <w:szCs w:val="20"/>
        </w:rPr>
        <w:t xml:space="preserve"> dei settori di cui all'allegato V, che rientrano tra gli obiettivi tematici definiti nell'articolo 9, primo comma, e sostenuti dai fondi SIE. </w:t>
      </w:r>
    </w:p>
    <w:p w:rsidR="00401CE2" w:rsidRDefault="00FF7D02" w:rsidP="00401CE2">
      <w:pPr>
        <w:pStyle w:val="CM4"/>
        <w:spacing w:before="60" w:after="60"/>
        <w:ind w:left="426"/>
        <w:jc w:val="both"/>
        <w:rPr>
          <w:rFonts w:ascii="Calibri" w:hAnsi="Calibri" w:cs="EUAlbertina"/>
          <w:color w:val="000000"/>
          <w:sz w:val="20"/>
          <w:szCs w:val="20"/>
        </w:rPr>
      </w:pPr>
      <w:r w:rsidRPr="00FF7D02">
        <w:rPr>
          <w:rFonts w:ascii="Calibri" w:hAnsi="Calibri" w:cs="EUAlbertina"/>
          <w:color w:val="000000"/>
          <w:sz w:val="20"/>
          <w:szCs w:val="20"/>
        </w:rPr>
        <w:t>Qualora si applichi il metodo di cui al primo comma, lettera a), si presume che tutte le entrate nette generate durante l'esecuzione e dopo il completamento dell'operazione siano prese in considerazione nell'applicazione del tasso forfettario e pertanto esse non sono successivamente dedotte dalle spese ammissibili dell'operazione.</w:t>
      </w:r>
    </w:p>
    <w:p w:rsidR="00401CE2" w:rsidRPr="00FF7D02" w:rsidRDefault="00401CE2" w:rsidP="00401CE2">
      <w:pPr>
        <w:pStyle w:val="CM4"/>
        <w:spacing w:before="60" w:after="60"/>
        <w:ind w:left="426"/>
        <w:jc w:val="both"/>
        <w:rPr>
          <w:rFonts w:ascii="Calibri" w:hAnsi="Calibri"/>
          <w:sz w:val="20"/>
          <w:szCs w:val="20"/>
        </w:rPr>
      </w:pPr>
      <w:r w:rsidRPr="00FF7D02">
        <w:rPr>
          <w:rFonts w:ascii="Calibri" w:hAnsi="Calibri"/>
          <w:sz w:val="20"/>
          <w:szCs w:val="20"/>
        </w:rPr>
        <w:t xml:space="preserve">Se un tasso forfettario per un nuovo settore o </w:t>
      </w:r>
      <w:proofErr w:type="spellStart"/>
      <w:r w:rsidRPr="00FF7D02">
        <w:rPr>
          <w:rFonts w:ascii="Calibri" w:hAnsi="Calibri"/>
          <w:sz w:val="20"/>
          <w:szCs w:val="20"/>
        </w:rPr>
        <w:t>sottosettore</w:t>
      </w:r>
      <w:proofErr w:type="spellEnd"/>
      <w:r w:rsidRPr="00FF7D02">
        <w:rPr>
          <w:rFonts w:ascii="Calibri" w:hAnsi="Calibri"/>
          <w:sz w:val="20"/>
          <w:szCs w:val="20"/>
        </w:rPr>
        <w:t xml:space="preserve"> è stato fissato mediante l'adozione di un atto delegato in conformità del terzo e al quarto comma, un'autorità di gestione può decidere di applicare il metodo di cui al primo comma, lettera a), per nuovi operazioni in relazione al settore o </w:t>
      </w:r>
      <w:proofErr w:type="spellStart"/>
      <w:r w:rsidRPr="00FF7D02">
        <w:rPr>
          <w:rFonts w:ascii="Calibri" w:hAnsi="Calibri"/>
          <w:sz w:val="20"/>
          <w:szCs w:val="20"/>
        </w:rPr>
        <w:t>sottosettore</w:t>
      </w:r>
      <w:proofErr w:type="spellEnd"/>
      <w:r w:rsidRPr="00FF7D02">
        <w:rPr>
          <w:rFonts w:ascii="Calibri" w:hAnsi="Calibri"/>
          <w:sz w:val="20"/>
          <w:szCs w:val="20"/>
        </w:rPr>
        <w:t xml:space="preserve"> interessato. </w:t>
      </w:r>
    </w:p>
    <w:p w:rsidR="00401CE2" w:rsidRPr="00FF7D02" w:rsidRDefault="00401CE2" w:rsidP="00401CE2">
      <w:pPr>
        <w:pStyle w:val="CM4"/>
        <w:spacing w:before="60" w:after="60"/>
        <w:ind w:left="426"/>
        <w:jc w:val="both"/>
        <w:rPr>
          <w:rFonts w:ascii="Calibri" w:hAnsi="Calibri" w:cs="EUAlbertina"/>
          <w:sz w:val="20"/>
          <w:szCs w:val="20"/>
        </w:rPr>
      </w:pPr>
      <w:r w:rsidRPr="00FF7D02">
        <w:rPr>
          <w:rFonts w:ascii="Calibri" w:hAnsi="Calibri" w:cs="EUAlbertina"/>
          <w:sz w:val="20"/>
          <w:szCs w:val="20"/>
        </w:rPr>
        <w:lastRenderedPageBreak/>
        <w:t xml:space="preserve">Alla Commissione è conferito il potere di adottare atti delegati conformemente all'articolo 149 riguardo al metodo di cui al primo comma, lettera b). Qualora si applichi tale metodo, le entrate nette generate durante l'esecuzione dell'operazione, derivanti da fonti di entrate non prese in considerazione nel determinare le entrate nette potenziali dell'operazione, sono dedotte dalle spese ammissibili dell'operazione non più tardi che nella richiesta di pagamento finale presentata dal beneficiario. </w:t>
      </w:r>
    </w:p>
    <w:p w:rsidR="00401CE2" w:rsidRPr="00FF7D02" w:rsidRDefault="00401CE2" w:rsidP="00401CE2">
      <w:pPr>
        <w:pStyle w:val="CM4"/>
        <w:numPr>
          <w:ilvl w:val="0"/>
          <w:numId w:val="32"/>
        </w:numPr>
        <w:spacing w:before="60" w:after="60"/>
        <w:ind w:left="426"/>
        <w:jc w:val="both"/>
        <w:rPr>
          <w:rFonts w:ascii="Calibri" w:hAnsi="Calibri" w:cs="EUAlbertina"/>
          <w:sz w:val="20"/>
          <w:szCs w:val="20"/>
        </w:rPr>
      </w:pPr>
      <w:r w:rsidRPr="00FF7D02">
        <w:rPr>
          <w:rFonts w:ascii="Calibri" w:hAnsi="Calibri" w:cs="EUAlbertina"/>
          <w:sz w:val="20"/>
          <w:szCs w:val="20"/>
        </w:rPr>
        <w:t xml:space="preserve">Il metodo attraverso il quale è effettuata la detrazione delle entrate nette dalle spese dell'operazione incluse nella richiesta di pagamento presentata alla Commissione è determinato conformemente alle norme nazionali. </w:t>
      </w:r>
    </w:p>
    <w:p w:rsidR="00401CE2" w:rsidRPr="00FF7D02" w:rsidRDefault="00401CE2" w:rsidP="00401CE2">
      <w:pPr>
        <w:pStyle w:val="CM4"/>
        <w:numPr>
          <w:ilvl w:val="0"/>
          <w:numId w:val="32"/>
        </w:numPr>
        <w:spacing w:before="60" w:after="60"/>
        <w:ind w:left="426"/>
        <w:jc w:val="both"/>
        <w:rPr>
          <w:rFonts w:ascii="Calibri" w:hAnsi="Calibri" w:cs="EUAlbertina"/>
          <w:sz w:val="20"/>
          <w:szCs w:val="20"/>
        </w:rPr>
      </w:pPr>
      <w:r w:rsidRPr="00FF7D02">
        <w:rPr>
          <w:rFonts w:ascii="Calibri" w:hAnsi="Calibri" w:cs="EUAlbertina"/>
          <w:sz w:val="20"/>
          <w:szCs w:val="20"/>
        </w:rPr>
        <w:t xml:space="preserve">In alternativa all'applicazione dei metodi di cui al paragrafo 3, il tasso massimo di cofinanziamento di cui all'articolo 60, paragrafo 1, può, su richiesta di uno Stato membro, essere ridotto al momento dell'adozione di un programma per una priorità o misura nell'ambito del quale tutte le operazioni che ricevono un sostegno in virtù di tale priorità o misura potrebbero applicare un tasso forfettario uniforme conformemente al paragrafo 3, primo comma, lettera a). Tale riduzione non è inferiore all'importo calcolato moltiplicando il tasso massimo di cofinanziamento dell'Unione applicabile in virtù delle norme specifiche di ciascun fondo per il pertinente tasso forfettario di cui al paragrafo 3, primo comma, lettera a). </w:t>
      </w:r>
    </w:p>
    <w:p w:rsidR="00401CE2" w:rsidRPr="00FF7D02" w:rsidRDefault="00401CE2" w:rsidP="00401CE2">
      <w:pPr>
        <w:pStyle w:val="CM4"/>
        <w:spacing w:before="60" w:after="60"/>
        <w:ind w:left="426"/>
        <w:jc w:val="both"/>
        <w:rPr>
          <w:rFonts w:ascii="Calibri" w:hAnsi="Calibri" w:cs="EUAlbertina"/>
          <w:sz w:val="20"/>
          <w:szCs w:val="20"/>
        </w:rPr>
      </w:pPr>
      <w:r w:rsidRPr="00FF7D02">
        <w:rPr>
          <w:rFonts w:ascii="Calibri" w:hAnsi="Calibri" w:cs="EUAlbertina"/>
          <w:sz w:val="20"/>
          <w:szCs w:val="20"/>
        </w:rPr>
        <w:t xml:space="preserve">Qualora si applichi il metodo di cui al primo comma, si presume che tutte le entrate nette generate durante l'esecuzione e dopo il completamento dell'operazione siano prese in considerazione nell'applicazione del tasso di cofinanziamento ridotto e pertanto esse non sono successivamente dedotte dalle spese ammissibili delle operazioni. </w:t>
      </w:r>
    </w:p>
    <w:p w:rsidR="00401CE2" w:rsidRPr="00FF7D02" w:rsidRDefault="00401CE2" w:rsidP="00401CE2">
      <w:pPr>
        <w:pStyle w:val="CM4"/>
        <w:numPr>
          <w:ilvl w:val="0"/>
          <w:numId w:val="32"/>
        </w:numPr>
        <w:spacing w:before="60" w:after="60"/>
        <w:ind w:left="426"/>
        <w:jc w:val="both"/>
        <w:rPr>
          <w:rFonts w:ascii="Calibri" w:hAnsi="Calibri" w:cs="EUAlbertina"/>
          <w:sz w:val="20"/>
          <w:szCs w:val="20"/>
        </w:rPr>
      </w:pPr>
      <w:r w:rsidRPr="00FF7D02">
        <w:rPr>
          <w:rFonts w:ascii="Calibri" w:hAnsi="Calibri" w:cs="EUAlbertina"/>
          <w:sz w:val="20"/>
          <w:szCs w:val="20"/>
        </w:rPr>
        <w:t xml:space="preserve">Qualora sia obiettivamente impossibile valutare le entrate in anticipo sulla base di uno dei metodi indicati ai paragrafi 3 o 5, le entrate nette generate entro i tre anni successivi al completamento di un'operazione o entro il termine per la presentazione dei documenti per la chiusura del programma fissata nelle norme specifiche di ciascun Fondo, se precedente, sono detratte dalla spesa dichiarata alla Commissione. </w:t>
      </w:r>
    </w:p>
    <w:p w:rsidR="00401CE2" w:rsidRPr="00FF7D02" w:rsidRDefault="00401CE2" w:rsidP="00401CE2">
      <w:pPr>
        <w:pStyle w:val="CM4"/>
        <w:numPr>
          <w:ilvl w:val="0"/>
          <w:numId w:val="32"/>
        </w:numPr>
        <w:spacing w:before="60" w:after="60"/>
        <w:ind w:left="426"/>
        <w:jc w:val="both"/>
        <w:rPr>
          <w:rFonts w:ascii="Calibri" w:hAnsi="Calibri" w:cs="EUAlbertina"/>
          <w:sz w:val="20"/>
          <w:szCs w:val="20"/>
        </w:rPr>
      </w:pPr>
      <w:r w:rsidRPr="00FF7D02">
        <w:rPr>
          <w:rFonts w:ascii="Calibri" w:hAnsi="Calibri" w:cs="EUAlbertina"/>
          <w:sz w:val="20"/>
          <w:szCs w:val="20"/>
        </w:rPr>
        <w:t xml:space="preserve">I paragrafi da 1 a 6 non si applicano: </w:t>
      </w:r>
    </w:p>
    <w:p w:rsidR="00401CE2" w:rsidRPr="00FF7D02" w:rsidRDefault="00401CE2" w:rsidP="00401CE2">
      <w:pPr>
        <w:pStyle w:val="CM4"/>
        <w:numPr>
          <w:ilvl w:val="1"/>
          <w:numId w:val="34"/>
        </w:numPr>
        <w:spacing w:before="60" w:after="60"/>
        <w:ind w:left="851"/>
        <w:jc w:val="both"/>
        <w:rPr>
          <w:rFonts w:ascii="Calibri" w:hAnsi="Calibri" w:cs="EUAlbertina"/>
          <w:sz w:val="20"/>
          <w:szCs w:val="20"/>
        </w:rPr>
      </w:pPr>
      <w:proofErr w:type="gramStart"/>
      <w:r w:rsidRPr="00FF7D02">
        <w:rPr>
          <w:rFonts w:ascii="Calibri" w:hAnsi="Calibri" w:cs="EUAlbertina"/>
          <w:sz w:val="20"/>
          <w:szCs w:val="20"/>
        </w:rPr>
        <w:t>alle</w:t>
      </w:r>
      <w:proofErr w:type="gramEnd"/>
      <w:r w:rsidRPr="00FF7D02">
        <w:rPr>
          <w:rFonts w:ascii="Calibri" w:hAnsi="Calibri" w:cs="EUAlbertina"/>
          <w:sz w:val="20"/>
          <w:szCs w:val="20"/>
        </w:rPr>
        <w:t xml:space="preserve"> operazioni o parti di operazioni sostenute esclusivamente dal FSE; </w:t>
      </w:r>
    </w:p>
    <w:p w:rsidR="00401CE2" w:rsidRPr="00FF7D02" w:rsidRDefault="00401CE2" w:rsidP="00401CE2">
      <w:pPr>
        <w:pStyle w:val="CM4"/>
        <w:numPr>
          <w:ilvl w:val="1"/>
          <w:numId w:val="34"/>
        </w:numPr>
        <w:spacing w:before="60" w:after="60"/>
        <w:ind w:left="851"/>
        <w:jc w:val="both"/>
        <w:rPr>
          <w:rFonts w:ascii="Calibri" w:hAnsi="Calibri" w:cs="EUAlbertina"/>
          <w:sz w:val="20"/>
          <w:szCs w:val="20"/>
        </w:rPr>
      </w:pPr>
      <w:proofErr w:type="gramStart"/>
      <w:r w:rsidRPr="00FF7D02">
        <w:rPr>
          <w:rFonts w:ascii="Calibri" w:hAnsi="Calibri" w:cs="EUAlbertina"/>
          <w:sz w:val="20"/>
          <w:szCs w:val="20"/>
        </w:rPr>
        <w:t>alle</w:t>
      </w:r>
      <w:proofErr w:type="gramEnd"/>
      <w:r w:rsidRPr="00FF7D02">
        <w:rPr>
          <w:rFonts w:ascii="Calibri" w:hAnsi="Calibri" w:cs="EUAlbertina"/>
          <w:sz w:val="20"/>
          <w:szCs w:val="20"/>
        </w:rPr>
        <w:t xml:space="preserve"> operazioni il cui costo ammissibile totale prima dell'applicazione dei paragrafi da 1 a 6 non supera 1 000 000 EUR, </w:t>
      </w:r>
    </w:p>
    <w:p w:rsidR="00401CE2" w:rsidRPr="00FF7D02" w:rsidRDefault="00401CE2" w:rsidP="00401CE2">
      <w:pPr>
        <w:pStyle w:val="CM4"/>
        <w:numPr>
          <w:ilvl w:val="1"/>
          <w:numId w:val="34"/>
        </w:numPr>
        <w:spacing w:before="60" w:after="60"/>
        <w:ind w:left="851"/>
        <w:jc w:val="both"/>
        <w:rPr>
          <w:rFonts w:ascii="Calibri" w:hAnsi="Calibri" w:cs="EUAlbertina"/>
          <w:sz w:val="20"/>
          <w:szCs w:val="20"/>
        </w:rPr>
      </w:pPr>
      <w:proofErr w:type="gramStart"/>
      <w:r w:rsidRPr="00FF7D02">
        <w:rPr>
          <w:rFonts w:ascii="Calibri" w:hAnsi="Calibri" w:cs="EUAlbertina"/>
          <w:sz w:val="20"/>
          <w:szCs w:val="20"/>
        </w:rPr>
        <w:t>all'assistenza</w:t>
      </w:r>
      <w:proofErr w:type="gramEnd"/>
      <w:r w:rsidRPr="00FF7D02">
        <w:rPr>
          <w:rFonts w:ascii="Calibri" w:hAnsi="Calibri" w:cs="EUAlbertina"/>
          <w:sz w:val="20"/>
          <w:szCs w:val="20"/>
        </w:rPr>
        <w:t xml:space="preserve"> rimborsabile soggetta all'obbligo di rimborso completo e ai premi; </w:t>
      </w:r>
    </w:p>
    <w:p w:rsidR="00401CE2" w:rsidRPr="00FF7D02" w:rsidRDefault="00401CE2" w:rsidP="00401CE2">
      <w:pPr>
        <w:pStyle w:val="CM4"/>
        <w:numPr>
          <w:ilvl w:val="1"/>
          <w:numId w:val="34"/>
        </w:numPr>
        <w:spacing w:before="60" w:after="60"/>
        <w:ind w:left="851"/>
        <w:jc w:val="both"/>
        <w:rPr>
          <w:rFonts w:ascii="Calibri" w:hAnsi="Calibri" w:cs="EUAlbertina"/>
          <w:sz w:val="20"/>
          <w:szCs w:val="20"/>
        </w:rPr>
      </w:pPr>
      <w:proofErr w:type="gramStart"/>
      <w:r w:rsidRPr="00FF7D02">
        <w:rPr>
          <w:rFonts w:ascii="Calibri" w:hAnsi="Calibri" w:cs="EUAlbertina"/>
          <w:sz w:val="20"/>
          <w:szCs w:val="20"/>
        </w:rPr>
        <w:t>all'assistenza</w:t>
      </w:r>
      <w:proofErr w:type="gramEnd"/>
      <w:r w:rsidRPr="00FF7D02">
        <w:rPr>
          <w:rFonts w:ascii="Calibri" w:hAnsi="Calibri" w:cs="EUAlbertina"/>
          <w:sz w:val="20"/>
          <w:szCs w:val="20"/>
        </w:rPr>
        <w:t xml:space="preserve"> tecnica; </w:t>
      </w:r>
    </w:p>
    <w:p w:rsidR="00401CE2" w:rsidRPr="00FF7D02" w:rsidRDefault="00401CE2" w:rsidP="00401CE2">
      <w:pPr>
        <w:pStyle w:val="CM4"/>
        <w:numPr>
          <w:ilvl w:val="1"/>
          <w:numId w:val="34"/>
        </w:numPr>
        <w:spacing w:before="60" w:after="60"/>
        <w:ind w:left="851"/>
        <w:jc w:val="both"/>
        <w:rPr>
          <w:rFonts w:ascii="Calibri" w:hAnsi="Calibri" w:cs="EUAlbertina"/>
          <w:sz w:val="20"/>
          <w:szCs w:val="20"/>
        </w:rPr>
      </w:pPr>
      <w:proofErr w:type="gramStart"/>
      <w:r w:rsidRPr="00FF7D02">
        <w:rPr>
          <w:rFonts w:ascii="Calibri" w:hAnsi="Calibri" w:cs="EUAlbertina"/>
          <w:sz w:val="20"/>
          <w:szCs w:val="20"/>
        </w:rPr>
        <w:t>al</w:t>
      </w:r>
      <w:proofErr w:type="gramEnd"/>
      <w:r w:rsidRPr="00FF7D02">
        <w:rPr>
          <w:rFonts w:ascii="Calibri" w:hAnsi="Calibri" w:cs="EUAlbertina"/>
          <w:sz w:val="20"/>
          <w:szCs w:val="20"/>
        </w:rPr>
        <w:t xml:space="preserve"> sostegno da o a strumenti finanziari; </w:t>
      </w:r>
    </w:p>
    <w:p w:rsidR="00401CE2" w:rsidRPr="00FF7D02" w:rsidRDefault="00401CE2" w:rsidP="00401CE2">
      <w:pPr>
        <w:pStyle w:val="CM4"/>
        <w:numPr>
          <w:ilvl w:val="1"/>
          <w:numId w:val="34"/>
        </w:numPr>
        <w:spacing w:before="60" w:after="60"/>
        <w:ind w:left="851"/>
        <w:jc w:val="both"/>
        <w:rPr>
          <w:rFonts w:ascii="Calibri" w:hAnsi="Calibri" w:cs="EUAlbertina"/>
          <w:sz w:val="20"/>
          <w:szCs w:val="20"/>
        </w:rPr>
      </w:pPr>
      <w:proofErr w:type="gramStart"/>
      <w:r w:rsidRPr="00FF7D02">
        <w:rPr>
          <w:rFonts w:ascii="Calibri" w:hAnsi="Calibri" w:cs="EUAlbertina"/>
          <w:sz w:val="20"/>
          <w:szCs w:val="20"/>
        </w:rPr>
        <w:t>alle</w:t>
      </w:r>
      <w:proofErr w:type="gramEnd"/>
      <w:r w:rsidRPr="00FF7D02">
        <w:rPr>
          <w:rFonts w:ascii="Calibri" w:hAnsi="Calibri" w:cs="EUAlbertina"/>
          <w:sz w:val="20"/>
          <w:szCs w:val="20"/>
        </w:rPr>
        <w:t xml:space="preserve"> operazioni per le quali il sostegno pubblico assume la forma di somme forfettarie o tabelle standard di costi unitari; </w:t>
      </w:r>
    </w:p>
    <w:p w:rsidR="00401CE2" w:rsidRPr="00FF7D02" w:rsidRDefault="00401CE2" w:rsidP="00401CE2">
      <w:pPr>
        <w:pStyle w:val="CM4"/>
        <w:numPr>
          <w:ilvl w:val="1"/>
          <w:numId w:val="34"/>
        </w:numPr>
        <w:spacing w:before="60" w:after="60"/>
        <w:ind w:left="851"/>
        <w:jc w:val="both"/>
        <w:rPr>
          <w:rFonts w:ascii="Calibri" w:hAnsi="Calibri" w:cs="EUAlbertina"/>
          <w:sz w:val="20"/>
          <w:szCs w:val="20"/>
        </w:rPr>
      </w:pPr>
      <w:proofErr w:type="gramStart"/>
      <w:r w:rsidRPr="00FF7D02">
        <w:rPr>
          <w:rFonts w:ascii="Calibri" w:hAnsi="Calibri" w:cs="EUAlbertina"/>
          <w:sz w:val="20"/>
          <w:szCs w:val="20"/>
        </w:rPr>
        <w:t>alle</w:t>
      </w:r>
      <w:proofErr w:type="gramEnd"/>
      <w:r w:rsidRPr="00FF7D02">
        <w:rPr>
          <w:rFonts w:ascii="Calibri" w:hAnsi="Calibri" w:cs="EUAlbertina"/>
          <w:sz w:val="20"/>
          <w:szCs w:val="20"/>
        </w:rPr>
        <w:t xml:space="preserve"> operazioni eseguite nell'ambito di un piano d'azione comune; </w:t>
      </w:r>
    </w:p>
    <w:p w:rsidR="00401CE2" w:rsidRPr="00FF7D02" w:rsidRDefault="00401CE2" w:rsidP="00401CE2">
      <w:pPr>
        <w:pStyle w:val="CM4"/>
        <w:numPr>
          <w:ilvl w:val="1"/>
          <w:numId w:val="34"/>
        </w:numPr>
        <w:spacing w:before="60" w:after="60"/>
        <w:ind w:left="851"/>
        <w:jc w:val="both"/>
        <w:rPr>
          <w:rFonts w:ascii="Calibri" w:hAnsi="Calibri" w:cs="EUAlbertina"/>
          <w:sz w:val="20"/>
          <w:szCs w:val="20"/>
        </w:rPr>
      </w:pPr>
      <w:proofErr w:type="gramStart"/>
      <w:r w:rsidRPr="00FF7D02">
        <w:rPr>
          <w:rFonts w:ascii="Calibri" w:hAnsi="Calibri" w:cs="EUAlbertina"/>
          <w:sz w:val="20"/>
          <w:szCs w:val="20"/>
        </w:rPr>
        <w:t>alle</w:t>
      </w:r>
      <w:proofErr w:type="gramEnd"/>
      <w:r w:rsidRPr="00FF7D02">
        <w:rPr>
          <w:rFonts w:ascii="Calibri" w:hAnsi="Calibri" w:cs="EUAlbertina"/>
          <w:sz w:val="20"/>
          <w:szCs w:val="20"/>
        </w:rPr>
        <w:t xml:space="preserve"> operazioni per le quali gli importi o i tassi del sostegno sono definiti nell'allegato II del regolamento FEASR. </w:t>
      </w:r>
    </w:p>
    <w:p w:rsidR="00401CE2" w:rsidRPr="00FF7D02" w:rsidRDefault="00401CE2" w:rsidP="00401CE2">
      <w:pPr>
        <w:pStyle w:val="CM4"/>
        <w:spacing w:before="60" w:after="60"/>
        <w:ind w:left="426"/>
        <w:jc w:val="both"/>
        <w:rPr>
          <w:rFonts w:ascii="Calibri" w:hAnsi="Calibri" w:cs="EUAlbertina"/>
          <w:sz w:val="20"/>
          <w:szCs w:val="20"/>
        </w:rPr>
      </w:pPr>
      <w:r w:rsidRPr="00FF7D02">
        <w:rPr>
          <w:rFonts w:ascii="Calibri" w:hAnsi="Calibri" w:cs="EUAlbertina"/>
          <w:sz w:val="20"/>
          <w:szCs w:val="20"/>
        </w:rPr>
        <w:t xml:space="preserve">In deroga al primo comma, lettera b), del presente paragrafo, qualora applichi il paragrafo 5, uno Stato membro può includere tra le priorità o misure pertinenti le operazioni il cui costo ammissibile totale prima dell'applicazione dei paragrafi da 1 a 6 non supera 1 000 000 EUR. </w:t>
      </w:r>
    </w:p>
    <w:p w:rsidR="00401CE2" w:rsidRPr="00FF7D02" w:rsidRDefault="00401CE2" w:rsidP="00401CE2">
      <w:pPr>
        <w:pStyle w:val="CM4"/>
        <w:numPr>
          <w:ilvl w:val="0"/>
          <w:numId w:val="32"/>
        </w:numPr>
        <w:spacing w:before="60" w:after="60"/>
        <w:ind w:left="426"/>
        <w:jc w:val="both"/>
        <w:rPr>
          <w:rFonts w:ascii="Calibri" w:hAnsi="Calibri" w:cs="EUAlbertina"/>
          <w:sz w:val="20"/>
          <w:szCs w:val="20"/>
        </w:rPr>
      </w:pPr>
      <w:r w:rsidRPr="00FF7D02">
        <w:rPr>
          <w:rFonts w:ascii="Calibri" w:hAnsi="Calibri" w:cs="EUAlbertina"/>
          <w:sz w:val="20"/>
          <w:szCs w:val="20"/>
        </w:rPr>
        <w:t xml:space="preserve">Inoltre, i paragrafi da 1 a 6 non si applicano alle operazioni per le quali il sostegno nell'ambito di un programma costituisce: </w:t>
      </w:r>
    </w:p>
    <w:p w:rsidR="00401CE2" w:rsidRPr="00FF7D02" w:rsidRDefault="00401CE2" w:rsidP="00401CE2">
      <w:pPr>
        <w:pStyle w:val="CM4"/>
        <w:numPr>
          <w:ilvl w:val="0"/>
          <w:numId w:val="35"/>
        </w:numPr>
        <w:spacing w:before="60" w:after="60"/>
        <w:ind w:left="851"/>
        <w:jc w:val="both"/>
        <w:rPr>
          <w:rFonts w:ascii="Calibri" w:hAnsi="Calibri" w:cs="EUAlbertina"/>
          <w:sz w:val="20"/>
          <w:szCs w:val="20"/>
        </w:rPr>
      </w:pPr>
      <w:proofErr w:type="gramStart"/>
      <w:r w:rsidRPr="00FF7D02">
        <w:rPr>
          <w:rFonts w:ascii="Calibri" w:hAnsi="Calibri" w:cs="EUAlbertina"/>
          <w:sz w:val="20"/>
          <w:szCs w:val="20"/>
        </w:rPr>
        <w:t>aiuti</w:t>
      </w:r>
      <w:proofErr w:type="gramEnd"/>
      <w:r w:rsidRPr="00FF7D02">
        <w:rPr>
          <w:rFonts w:ascii="Calibri" w:hAnsi="Calibri" w:cs="EUAlbertina"/>
          <w:sz w:val="20"/>
          <w:szCs w:val="20"/>
        </w:rPr>
        <w:t xml:space="preserve"> </w:t>
      </w:r>
      <w:r w:rsidRPr="00401CE2">
        <w:rPr>
          <w:rFonts w:ascii="Calibri" w:hAnsi="Calibri" w:cs="EUAlbertina"/>
          <w:sz w:val="20"/>
          <w:szCs w:val="20"/>
        </w:rPr>
        <w:t>"</w:t>
      </w:r>
      <w:r w:rsidRPr="00FF7D02">
        <w:rPr>
          <w:rFonts w:ascii="Calibri" w:hAnsi="Calibri" w:cs="EUAlbertina"/>
          <w:sz w:val="20"/>
          <w:szCs w:val="20"/>
        </w:rPr>
        <w:t>de minimis</w:t>
      </w:r>
      <w:r w:rsidRPr="00401CE2">
        <w:rPr>
          <w:rFonts w:ascii="Calibri" w:hAnsi="Calibri" w:cs="EUAlbertina"/>
          <w:sz w:val="20"/>
          <w:szCs w:val="20"/>
        </w:rPr>
        <w:t>"</w:t>
      </w:r>
      <w:r w:rsidRPr="00FF7D02">
        <w:rPr>
          <w:rFonts w:ascii="Calibri" w:hAnsi="Calibri" w:cs="EUAlbertina"/>
          <w:sz w:val="20"/>
          <w:szCs w:val="20"/>
        </w:rPr>
        <w:t xml:space="preserve">; </w:t>
      </w:r>
    </w:p>
    <w:p w:rsidR="00401CE2" w:rsidRPr="00FF7D02" w:rsidRDefault="00401CE2" w:rsidP="00401CE2">
      <w:pPr>
        <w:pStyle w:val="CM4"/>
        <w:numPr>
          <w:ilvl w:val="0"/>
          <w:numId w:val="35"/>
        </w:numPr>
        <w:spacing w:before="60" w:after="60"/>
        <w:ind w:left="851"/>
        <w:jc w:val="both"/>
        <w:rPr>
          <w:rFonts w:ascii="Calibri" w:hAnsi="Calibri" w:cs="EUAlbertina"/>
          <w:sz w:val="20"/>
          <w:szCs w:val="20"/>
        </w:rPr>
      </w:pPr>
      <w:proofErr w:type="gramStart"/>
      <w:r w:rsidRPr="00FF7D02">
        <w:rPr>
          <w:rFonts w:ascii="Calibri" w:hAnsi="Calibri" w:cs="EUAlbertina"/>
          <w:sz w:val="20"/>
          <w:szCs w:val="20"/>
        </w:rPr>
        <w:t>aiuto</w:t>
      </w:r>
      <w:proofErr w:type="gramEnd"/>
      <w:r w:rsidRPr="00FF7D02">
        <w:rPr>
          <w:rFonts w:ascii="Calibri" w:hAnsi="Calibri" w:cs="EUAlbertina"/>
          <w:sz w:val="20"/>
          <w:szCs w:val="20"/>
        </w:rPr>
        <w:t xml:space="preserve"> di Stato compatibile alle PMI, con applicazione di un limite all'intensità o all'importo dell'aiuto commisurato all'aiuto di Stato; </w:t>
      </w:r>
    </w:p>
    <w:p w:rsidR="00401CE2" w:rsidRPr="00FF7D02" w:rsidRDefault="00401CE2" w:rsidP="00401CE2">
      <w:pPr>
        <w:pStyle w:val="CM4"/>
        <w:numPr>
          <w:ilvl w:val="0"/>
          <w:numId w:val="35"/>
        </w:numPr>
        <w:spacing w:before="60" w:after="60"/>
        <w:ind w:left="851"/>
        <w:jc w:val="both"/>
        <w:rPr>
          <w:rFonts w:ascii="Calibri" w:hAnsi="Calibri" w:cs="EUAlbertina"/>
          <w:sz w:val="20"/>
          <w:szCs w:val="20"/>
        </w:rPr>
      </w:pPr>
      <w:proofErr w:type="gramStart"/>
      <w:r w:rsidRPr="00FF7D02">
        <w:rPr>
          <w:rFonts w:ascii="Calibri" w:hAnsi="Calibri" w:cs="EUAlbertina"/>
          <w:sz w:val="20"/>
          <w:szCs w:val="20"/>
        </w:rPr>
        <w:t>aiuto</w:t>
      </w:r>
      <w:proofErr w:type="gramEnd"/>
      <w:r w:rsidRPr="00FF7D02">
        <w:rPr>
          <w:rFonts w:ascii="Calibri" w:hAnsi="Calibri" w:cs="EUAlbertina"/>
          <w:sz w:val="20"/>
          <w:szCs w:val="20"/>
        </w:rPr>
        <w:t xml:space="preserve"> di Stato compatibile a condizione che sia stata effettuata una verifica individuale del fabbisogno di finanziamento conformemente alle norme applicabili in materia di aiuti di Stato. </w:t>
      </w:r>
    </w:p>
    <w:p w:rsidR="00401CE2" w:rsidRPr="00FF7D02" w:rsidRDefault="00401CE2" w:rsidP="0091458A">
      <w:pPr>
        <w:pStyle w:val="CM4"/>
        <w:spacing w:before="60" w:after="60"/>
        <w:ind w:left="426"/>
        <w:jc w:val="both"/>
        <w:rPr>
          <w:rFonts w:ascii="Calibri" w:eastAsia="Calibri" w:hAnsi="Calibri" w:cs="Calibri"/>
          <w:sz w:val="20"/>
          <w:szCs w:val="20"/>
        </w:rPr>
      </w:pPr>
      <w:r w:rsidRPr="00FF7D02">
        <w:rPr>
          <w:rFonts w:ascii="Calibri" w:hAnsi="Calibri" w:cs="EUAlbertina"/>
          <w:sz w:val="20"/>
          <w:szCs w:val="20"/>
        </w:rPr>
        <w:t>In deroga al primo comma, un'autorità di gestione può applicare i paragrafi da 1 a 6 alle operazioni rientranti nel primo comma, lettere da a) a c), del presente paragrafo, purché ciò sia previsto dalla normativa nazionale.</w:t>
      </w:r>
    </w:p>
    <w:p w:rsidR="00401CE2" w:rsidRPr="00FF7D02" w:rsidRDefault="00401CE2" w:rsidP="00401CE2">
      <w:pPr>
        <w:tabs>
          <w:tab w:val="left" w:pos="0"/>
        </w:tabs>
        <w:spacing w:line="222" w:lineRule="auto"/>
        <w:ind w:right="140" w:hanging="4"/>
        <w:rPr>
          <w:rFonts w:eastAsia="Calibri" w:cs="Calibri"/>
        </w:rPr>
      </w:pPr>
    </w:p>
    <w:p w:rsidR="0091458A" w:rsidRDefault="0091458A">
      <w:pPr>
        <w:spacing w:after="160" w:line="259" w:lineRule="auto"/>
        <w:jc w:val="left"/>
        <w:rPr>
          <w:rFonts w:eastAsia="Calibri" w:cs="Calibri"/>
        </w:rPr>
      </w:pPr>
      <w:r>
        <w:rPr>
          <w:rFonts w:eastAsia="Calibri" w:cs="Calibri"/>
        </w:rPr>
        <w:br w:type="page"/>
      </w:r>
    </w:p>
    <w:tbl>
      <w:tblPr>
        <w:tblW w:w="9628" w:type="dxa"/>
        <w:jc w:val="center"/>
        <w:tblCellMar>
          <w:left w:w="70" w:type="dxa"/>
          <w:right w:w="70" w:type="dxa"/>
        </w:tblCellMar>
        <w:tblLook w:val="0000" w:firstRow="0" w:lastRow="0" w:firstColumn="0" w:lastColumn="0" w:noHBand="0" w:noVBand="0"/>
      </w:tblPr>
      <w:tblGrid>
        <w:gridCol w:w="1445"/>
        <w:gridCol w:w="1376"/>
        <w:gridCol w:w="1284"/>
        <w:gridCol w:w="2609"/>
        <w:gridCol w:w="1291"/>
        <w:gridCol w:w="1623"/>
      </w:tblGrid>
      <w:tr w:rsidR="0091458A" w:rsidRPr="004225B1" w:rsidTr="000F6C38">
        <w:trPr>
          <w:trHeight w:val="1119"/>
          <w:jc w:val="center"/>
        </w:trPr>
        <w:tc>
          <w:tcPr>
            <w:tcW w:w="1445" w:type="dxa"/>
            <w:vAlign w:val="center"/>
          </w:tcPr>
          <w:p w:rsidR="0091458A" w:rsidRPr="004225B1" w:rsidRDefault="0091458A" w:rsidP="000F6C38">
            <w:pPr>
              <w:jc w:val="center"/>
              <w:rPr>
                <w:rFonts w:cs="Calibri"/>
              </w:rPr>
            </w:pPr>
            <w:r w:rsidRPr="004225B1">
              <w:rPr>
                <w:rFonts w:cs="Calibri"/>
                <w:noProof/>
              </w:rPr>
              <w:lastRenderedPageBreak/>
              <w:drawing>
                <wp:inline distT="0" distB="0" distL="0" distR="0">
                  <wp:extent cx="561975" cy="366402"/>
                  <wp:effectExtent l="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167" cy="371091"/>
                          </a:xfrm>
                          <a:prstGeom prst="rect">
                            <a:avLst/>
                          </a:prstGeom>
                          <a:noFill/>
                          <a:ln>
                            <a:noFill/>
                          </a:ln>
                          <a:extLst/>
                        </pic:spPr>
                      </pic:pic>
                    </a:graphicData>
                  </a:graphic>
                </wp:inline>
              </w:drawing>
            </w:r>
          </w:p>
        </w:tc>
        <w:tc>
          <w:tcPr>
            <w:tcW w:w="1376" w:type="dxa"/>
            <w:vAlign w:val="center"/>
          </w:tcPr>
          <w:p w:rsidR="0091458A" w:rsidRPr="004225B1" w:rsidRDefault="0091458A" w:rsidP="000F6C38">
            <w:pPr>
              <w:jc w:val="center"/>
              <w:rPr>
                <w:rFonts w:cs="Calibri"/>
                <w:noProof/>
              </w:rPr>
            </w:pPr>
            <w:r w:rsidRPr="004225B1">
              <w:rPr>
                <w:rFonts w:cs="Calibri"/>
                <w:noProof/>
              </w:rPr>
              <w:drawing>
                <wp:inline distT="0" distB="0" distL="0" distR="0">
                  <wp:extent cx="447675" cy="414802"/>
                  <wp:effectExtent l="0" t="0" r="0" b="4445"/>
                  <wp:docPr id="3" name="Immagine 5" descr="http://www.regione.piemonte.it/agri/psr2014_20/im/Logo_Leader_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ione.piemonte.it/agri/psr2014_20/im/Logo_Leader_Plus.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455568" cy="422116"/>
                          </a:xfrm>
                          <a:prstGeom prst="rect">
                            <a:avLst/>
                          </a:prstGeom>
                          <a:noFill/>
                          <a:ln>
                            <a:noFill/>
                          </a:ln>
                        </pic:spPr>
                      </pic:pic>
                    </a:graphicData>
                  </a:graphic>
                </wp:inline>
              </w:drawing>
            </w:r>
          </w:p>
        </w:tc>
        <w:tc>
          <w:tcPr>
            <w:tcW w:w="1284" w:type="dxa"/>
            <w:vAlign w:val="center"/>
          </w:tcPr>
          <w:p w:rsidR="0091458A" w:rsidRPr="004225B1" w:rsidRDefault="0091458A" w:rsidP="000F6C38">
            <w:pPr>
              <w:jc w:val="center"/>
              <w:rPr>
                <w:rFonts w:cs="Calibri"/>
                <w:noProof/>
              </w:rPr>
            </w:pPr>
            <w:r w:rsidRPr="004225B1">
              <w:rPr>
                <w:rFonts w:cs="Calibri"/>
                <w:noProof/>
              </w:rPr>
              <w:drawing>
                <wp:inline distT="0" distB="0" distL="0" distR="0">
                  <wp:extent cx="481330" cy="541496"/>
                  <wp:effectExtent l="0" t="0" r="0" b="0"/>
                  <wp:docPr id="4" name="Immagine 9" descr="C:\Users\silvia.visca\Dropbox\GAL\Generale\Loghi\Repubblica Ital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via.visca\Dropbox\GAL\Generale\Loghi\Repubblica Italiana.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flipH="1">
                            <a:off x="0" y="0"/>
                            <a:ext cx="490105" cy="551368"/>
                          </a:xfrm>
                          <a:prstGeom prst="rect">
                            <a:avLst/>
                          </a:prstGeom>
                          <a:noFill/>
                          <a:ln>
                            <a:noFill/>
                          </a:ln>
                        </pic:spPr>
                      </pic:pic>
                    </a:graphicData>
                  </a:graphic>
                </wp:inline>
              </w:drawing>
            </w:r>
          </w:p>
        </w:tc>
        <w:tc>
          <w:tcPr>
            <w:tcW w:w="2609" w:type="dxa"/>
            <w:vAlign w:val="center"/>
          </w:tcPr>
          <w:p w:rsidR="0091458A" w:rsidRPr="004225B1" w:rsidRDefault="0091458A" w:rsidP="000F6C38">
            <w:pPr>
              <w:jc w:val="center"/>
              <w:rPr>
                <w:rFonts w:cs="Calibri"/>
                <w:noProof/>
              </w:rPr>
            </w:pPr>
            <w:r w:rsidRPr="004225B1">
              <w:rPr>
                <w:rFonts w:cs="Calibri"/>
                <w:noProof/>
              </w:rPr>
              <w:drawing>
                <wp:inline distT="0" distB="0" distL="0" distR="0">
                  <wp:extent cx="1390650" cy="426833"/>
                  <wp:effectExtent l="0" t="0" r="0" b="0"/>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7772" cy="432088"/>
                          </a:xfrm>
                          <a:prstGeom prst="rect">
                            <a:avLst/>
                          </a:prstGeom>
                          <a:noFill/>
                          <a:ln>
                            <a:noFill/>
                          </a:ln>
                          <a:extLst/>
                        </pic:spPr>
                      </pic:pic>
                    </a:graphicData>
                  </a:graphic>
                </wp:inline>
              </w:drawing>
            </w:r>
          </w:p>
        </w:tc>
        <w:tc>
          <w:tcPr>
            <w:tcW w:w="1291" w:type="dxa"/>
          </w:tcPr>
          <w:p w:rsidR="0091458A" w:rsidRPr="004225B1" w:rsidRDefault="0091458A" w:rsidP="000F6C38">
            <w:pPr>
              <w:jc w:val="center"/>
              <w:rPr>
                <w:rFonts w:cs="Calibri"/>
                <w:noProof/>
              </w:rPr>
            </w:pPr>
            <w:r w:rsidRPr="004225B1">
              <w:rPr>
                <w:rFonts w:cs="Calibri"/>
                <w:noProof/>
              </w:rPr>
              <w:drawing>
                <wp:inline distT="0" distB="0" distL="0" distR="0">
                  <wp:extent cx="635404" cy="713849"/>
                  <wp:effectExtent l="0" t="0" r="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4626" cy="724209"/>
                          </a:xfrm>
                          <a:prstGeom prst="rect">
                            <a:avLst/>
                          </a:prstGeom>
                          <a:noFill/>
                          <a:ln>
                            <a:noFill/>
                          </a:ln>
                        </pic:spPr>
                      </pic:pic>
                    </a:graphicData>
                  </a:graphic>
                </wp:inline>
              </w:drawing>
            </w:r>
          </w:p>
        </w:tc>
        <w:tc>
          <w:tcPr>
            <w:tcW w:w="1623" w:type="dxa"/>
            <w:vAlign w:val="center"/>
          </w:tcPr>
          <w:p w:rsidR="0091458A" w:rsidRPr="004225B1" w:rsidRDefault="0091458A" w:rsidP="000F6C38">
            <w:pPr>
              <w:jc w:val="center"/>
              <w:rPr>
                <w:rFonts w:cs="Calibri"/>
                <w:noProof/>
              </w:rPr>
            </w:pPr>
            <w:r w:rsidRPr="004225B1">
              <w:rPr>
                <w:rFonts w:cs="Calibri"/>
                <w:noProof/>
              </w:rPr>
              <w:drawing>
                <wp:inline distT="0" distB="0" distL="0" distR="0">
                  <wp:extent cx="876300" cy="432785"/>
                  <wp:effectExtent l="0" t="0" r="0" b="5715"/>
                  <wp:docPr id="8" name="Immagine 117" descr="marchioG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7" descr="marchioGL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3482" cy="436332"/>
                          </a:xfrm>
                          <a:prstGeom prst="rect">
                            <a:avLst/>
                          </a:prstGeom>
                          <a:noFill/>
                          <a:ln>
                            <a:noFill/>
                          </a:ln>
                        </pic:spPr>
                      </pic:pic>
                    </a:graphicData>
                  </a:graphic>
                </wp:inline>
              </w:drawing>
            </w:r>
          </w:p>
        </w:tc>
      </w:tr>
    </w:tbl>
    <w:p w:rsidR="001E1167" w:rsidRPr="00B814F7" w:rsidRDefault="001E1167" w:rsidP="001E1167">
      <w:pPr>
        <w:pStyle w:val="Nessunaspaziatura"/>
        <w:jc w:val="center"/>
        <w:rPr>
          <w:rFonts w:ascii="Calibri" w:hAnsi="Calibri" w:cs="Calibri"/>
          <w:b/>
          <w:sz w:val="20"/>
          <w:szCs w:val="20"/>
        </w:rPr>
      </w:pPr>
      <w:r w:rsidRPr="00B814F7">
        <w:rPr>
          <w:rFonts w:ascii="Calibri" w:hAnsi="Calibri" w:cs="Calibri"/>
          <w:b/>
          <w:sz w:val="20"/>
          <w:szCs w:val="20"/>
        </w:rPr>
        <w:t>FEASR – FONDO EUROPEO AGRICOLO PER LO SVILUPPO RURALE</w:t>
      </w:r>
      <w:r>
        <w:rPr>
          <w:rFonts w:ascii="Calibri" w:hAnsi="Calibri" w:cs="Calibri"/>
          <w:b/>
          <w:sz w:val="20"/>
          <w:szCs w:val="20"/>
        </w:rPr>
        <w:t xml:space="preserve"> - </w:t>
      </w:r>
      <w:r w:rsidRPr="00B814F7">
        <w:rPr>
          <w:rFonts w:ascii="Calibri" w:hAnsi="Calibri" w:cs="Calibri"/>
          <w:b/>
          <w:sz w:val="20"/>
          <w:szCs w:val="20"/>
        </w:rPr>
        <w:t>Programma di Sviluppo Rurale 2014-2020</w:t>
      </w:r>
    </w:p>
    <w:p w:rsidR="001E1167" w:rsidRPr="00B814F7" w:rsidRDefault="001E1167" w:rsidP="001E1167">
      <w:pPr>
        <w:rPr>
          <w:rFonts w:cs="Calibri"/>
          <w:sz w:val="10"/>
          <w:szCs w:val="10"/>
        </w:rPr>
      </w:pPr>
    </w:p>
    <w:p w:rsidR="001E1167" w:rsidRPr="00B814F7" w:rsidRDefault="001E1167" w:rsidP="001E1167">
      <w:pPr>
        <w:jc w:val="center"/>
        <w:rPr>
          <w:rFonts w:cs="Calibri"/>
          <w:b/>
        </w:rPr>
      </w:pPr>
      <w:r w:rsidRPr="00B814F7">
        <w:rPr>
          <w:rFonts w:cs="Calibri"/>
          <w:b/>
          <w:sz w:val="26"/>
          <w:szCs w:val="26"/>
        </w:rPr>
        <w:t xml:space="preserve">GAL Langhe Roero Leader </w:t>
      </w:r>
      <w:proofErr w:type="spellStart"/>
      <w:r w:rsidRPr="00B814F7">
        <w:rPr>
          <w:rFonts w:cs="Calibri"/>
          <w:b/>
          <w:sz w:val="26"/>
          <w:szCs w:val="26"/>
        </w:rPr>
        <w:t>s.c.a.r.l</w:t>
      </w:r>
      <w:proofErr w:type="spellEnd"/>
      <w:r w:rsidRPr="00B814F7">
        <w:rPr>
          <w:rFonts w:cs="Calibri"/>
          <w:b/>
          <w:sz w:val="26"/>
          <w:szCs w:val="26"/>
        </w:rPr>
        <w:t>.</w:t>
      </w:r>
      <w:r>
        <w:rPr>
          <w:rFonts w:cs="Calibri"/>
          <w:b/>
          <w:sz w:val="26"/>
          <w:szCs w:val="26"/>
        </w:rPr>
        <w:t xml:space="preserve"> - </w:t>
      </w:r>
      <w:r w:rsidRPr="00B814F7">
        <w:rPr>
          <w:rFonts w:cs="Calibri"/>
          <w:b/>
        </w:rPr>
        <w:t xml:space="preserve">BANDO PUBBLICO </w:t>
      </w:r>
      <w:r w:rsidRPr="001E3F29">
        <w:rPr>
          <w:rFonts w:cs="Calibri"/>
          <w:b/>
        </w:rPr>
        <w:t>N. 1/2019 – OPERAZIONE</w:t>
      </w:r>
      <w:r>
        <w:rPr>
          <w:rFonts w:cs="Calibri"/>
          <w:b/>
        </w:rPr>
        <w:t xml:space="preserve"> 7.6.4</w:t>
      </w:r>
    </w:p>
    <w:tbl>
      <w:tblPr>
        <w:tblStyle w:val="Grigliatabella"/>
        <w:tblW w:w="0" w:type="auto"/>
        <w:shd w:val="clear" w:color="auto" w:fill="D2E7C3"/>
        <w:tblLook w:val="04A0" w:firstRow="1" w:lastRow="0" w:firstColumn="1" w:lastColumn="0" w:noHBand="0" w:noVBand="1"/>
      </w:tblPr>
      <w:tblGrid>
        <w:gridCol w:w="9854"/>
      </w:tblGrid>
      <w:tr w:rsidR="0091458A" w:rsidRPr="004225B1" w:rsidTr="00905DFA">
        <w:tc>
          <w:tcPr>
            <w:tcW w:w="9854" w:type="dxa"/>
            <w:shd w:val="clear" w:color="auto" w:fill="DEEAF6" w:themeFill="accent1" w:themeFillTint="33"/>
          </w:tcPr>
          <w:p w:rsidR="0091458A" w:rsidRPr="001E1167" w:rsidRDefault="0091458A" w:rsidP="001E1167">
            <w:pPr>
              <w:spacing w:before="120" w:after="120"/>
              <w:jc w:val="center"/>
              <w:rPr>
                <w:rFonts w:cs="Calibri"/>
                <w:b/>
                <w:bCs/>
                <w:sz w:val="24"/>
                <w:szCs w:val="24"/>
                <w:lang w:val="it-IT"/>
              </w:rPr>
            </w:pPr>
            <w:r>
              <w:rPr>
                <w:rFonts w:cs="Calibri"/>
                <w:b/>
                <w:bCs/>
                <w:sz w:val="28"/>
                <w:szCs w:val="28"/>
                <w:lang w:val="it-IT"/>
              </w:rPr>
              <w:t xml:space="preserve">APPENDICE </w:t>
            </w:r>
            <w:r w:rsidR="00905DFA">
              <w:rPr>
                <w:rFonts w:cs="Calibri"/>
                <w:b/>
                <w:bCs/>
                <w:sz w:val="28"/>
                <w:szCs w:val="28"/>
                <w:lang w:val="it-IT"/>
              </w:rPr>
              <w:t>B</w:t>
            </w:r>
            <w:r w:rsidR="001E1167">
              <w:rPr>
                <w:rFonts w:cs="Calibri"/>
                <w:b/>
                <w:bCs/>
                <w:sz w:val="28"/>
                <w:szCs w:val="28"/>
                <w:lang w:val="it-IT"/>
              </w:rPr>
              <w:t xml:space="preserve"> - </w:t>
            </w:r>
            <w:r w:rsidR="00905DFA" w:rsidRPr="001E1167">
              <w:rPr>
                <w:rFonts w:cs="Calibri"/>
                <w:b/>
                <w:bCs/>
                <w:sz w:val="24"/>
                <w:szCs w:val="24"/>
                <w:lang w:val="it-IT"/>
              </w:rPr>
              <w:t>Decreto del Ministero delle Politiche Agricole, Alimentari, Forestali e del Turismo prot. 10255 del 22.10.2018 su riduzioni ed esclusioni</w:t>
            </w:r>
            <w:r w:rsidRPr="001E1167">
              <w:rPr>
                <w:rFonts w:cs="Calibri"/>
                <w:b/>
                <w:bCs/>
                <w:sz w:val="24"/>
                <w:szCs w:val="24"/>
                <w:lang w:val="it-IT"/>
              </w:rPr>
              <w:t xml:space="preserve"> </w:t>
            </w:r>
          </w:p>
        </w:tc>
      </w:tr>
    </w:tbl>
    <w:p w:rsidR="0091458A" w:rsidRDefault="001E1167" w:rsidP="0091458A">
      <w:pPr>
        <w:jc w:val="center"/>
        <w:rPr>
          <w:rFonts w:cs="Calibri"/>
        </w:rPr>
      </w:pPr>
      <w:r>
        <w:rPr>
          <w:rFonts w:cs="Calibri"/>
          <w:noProof/>
        </w:rPr>
        <w:drawing>
          <wp:anchor distT="0" distB="0" distL="114300" distR="114300" simplePos="0" relativeHeight="251658240" behindDoc="1" locked="0" layoutInCell="1" allowOverlap="1">
            <wp:simplePos x="0" y="0"/>
            <wp:positionH relativeFrom="column">
              <wp:posOffset>184785</wp:posOffset>
            </wp:positionH>
            <wp:positionV relativeFrom="paragraph">
              <wp:posOffset>40640</wp:posOffset>
            </wp:positionV>
            <wp:extent cx="5724525" cy="7764072"/>
            <wp:effectExtent l="19050" t="0" r="9525" b="0"/>
            <wp:wrapNone/>
            <wp:docPr id="1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724525" cy="7764072"/>
                    </a:xfrm>
                    <a:prstGeom prst="rect">
                      <a:avLst/>
                    </a:prstGeom>
                    <a:noFill/>
                    <a:ln w="9525">
                      <a:noFill/>
                      <a:miter lim="800000"/>
                      <a:headEnd/>
                      <a:tailEnd/>
                    </a:ln>
                  </pic:spPr>
                </pic:pic>
              </a:graphicData>
            </a:graphic>
          </wp:anchor>
        </w:drawing>
      </w:r>
    </w:p>
    <w:p w:rsidR="0091458A" w:rsidRDefault="0091458A" w:rsidP="0091458A">
      <w:pPr>
        <w:tabs>
          <w:tab w:val="left" w:pos="0"/>
        </w:tabs>
        <w:spacing w:line="222" w:lineRule="auto"/>
        <w:ind w:right="140" w:hanging="4"/>
        <w:rPr>
          <w:rFonts w:eastAsia="Corbel" w:cs="Calibri"/>
        </w:rPr>
      </w:pPr>
    </w:p>
    <w:p w:rsidR="00905DFA" w:rsidRDefault="00905DFA" w:rsidP="0091458A">
      <w:pPr>
        <w:tabs>
          <w:tab w:val="left" w:pos="0"/>
        </w:tabs>
        <w:spacing w:line="222" w:lineRule="auto"/>
        <w:ind w:right="140" w:hanging="4"/>
        <w:rPr>
          <w:rFonts w:eastAsia="Corbel" w:cs="Calibri"/>
        </w:rPr>
      </w:pPr>
    </w:p>
    <w:p w:rsidR="00905DFA" w:rsidRDefault="00905DFA" w:rsidP="0091458A">
      <w:pPr>
        <w:tabs>
          <w:tab w:val="left" w:pos="0"/>
        </w:tabs>
        <w:spacing w:line="222" w:lineRule="auto"/>
        <w:ind w:right="140" w:hanging="4"/>
        <w:rPr>
          <w:rFonts w:eastAsia="Corbel" w:cs="Calibri"/>
        </w:rPr>
      </w:pPr>
    </w:p>
    <w:p w:rsidR="00905DFA" w:rsidRDefault="00905DFA" w:rsidP="0091458A">
      <w:pPr>
        <w:tabs>
          <w:tab w:val="left" w:pos="0"/>
        </w:tabs>
        <w:spacing w:line="222" w:lineRule="auto"/>
        <w:ind w:right="140" w:hanging="4"/>
        <w:rPr>
          <w:rFonts w:eastAsia="Corbel" w:cs="Calibri"/>
        </w:rPr>
      </w:pPr>
    </w:p>
    <w:p w:rsidR="00905DFA" w:rsidRPr="00FF7D02" w:rsidRDefault="00905DFA" w:rsidP="0091458A">
      <w:pPr>
        <w:tabs>
          <w:tab w:val="left" w:pos="0"/>
        </w:tabs>
        <w:spacing w:line="222" w:lineRule="auto"/>
        <w:ind w:right="140" w:hanging="4"/>
        <w:rPr>
          <w:rFonts w:eastAsia="Corbel" w:cs="Calibri"/>
        </w:rPr>
      </w:pPr>
    </w:p>
    <w:p w:rsidR="00401CE2" w:rsidRPr="00FF7D02" w:rsidRDefault="00401CE2" w:rsidP="00401CE2">
      <w:pPr>
        <w:tabs>
          <w:tab w:val="left" w:pos="0"/>
        </w:tabs>
        <w:spacing w:line="222" w:lineRule="auto"/>
        <w:ind w:right="140" w:hanging="4"/>
        <w:rPr>
          <w:rFonts w:eastAsia="Calibri" w:cs="Calibri"/>
        </w:rPr>
      </w:pPr>
    </w:p>
    <w:p w:rsidR="00401CE2" w:rsidRPr="00FF7D02" w:rsidRDefault="00401CE2" w:rsidP="00401CE2">
      <w:pPr>
        <w:tabs>
          <w:tab w:val="left" w:pos="0"/>
        </w:tabs>
        <w:spacing w:line="222" w:lineRule="auto"/>
        <w:ind w:right="140" w:hanging="4"/>
        <w:rPr>
          <w:rFonts w:eastAsia="Calibri" w:cs="Calibri"/>
        </w:rPr>
      </w:pPr>
    </w:p>
    <w:p w:rsidR="00401CE2" w:rsidRPr="00FF7D02" w:rsidRDefault="00401CE2" w:rsidP="00401CE2">
      <w:pPr>
        <w:tabs>
          <w:tab w:val="left" w:pos="0"/>
        </w:tabs>
        <w:spacing w:line="222" w:lineRule="auto"/>
        <w:ind w:right="140" w:hanging="4"/>
        <w:rPr>
          <w:rFonts w:eastAsia="Calibri" w:cs="Calibri"/>
        </w:rPr>
      </w:pPr>
    </w:p>
    <w:p w:rsidR="00401CE2" w:rsidRPr="00FF7D02" w:rsidRDefault="00401CE2" w:rsidP="00401CE2">
      <w:pPr>
        <w:tabs>
          <w:tab w:val="left" w:pos="0"/>
        </w:tabs>
        <w:spacing w:line="222" w:lineRule="auto"/>
        <w:ind w:right="140" w:hanging="4"/>
        <w:rPr>
          <w:rFonts w:eastAsia="Calibri" w:cs="Calibri"/>
        </w:rPr>
      </w:pPr>
    </w:p>
    <w:p w:rsidR="00401CE2" w:rsidRPr="00FF7D02" w:rsidRDefault="00401CE2" w:rsidP="00401CE2">
      <w:pPr>
        <w:tabs>
          <w:tab w:val="left" w:pos="0"/>
        </w:tabs>
        <w:spacing w:line="222" w:lineRule="auto"/>
        <w:ind w:right="140" w:hanging="4"/>
        <w:rPr>
          <w:rFonts w:eastAsia="Calibri" w:cs="Calibri"/>
        </w:rPr>
      </w:pPr>
    </w:p>
    <w:p w:rsidR="00401CE2" w:rsidRPr="00FF7D02" w:rsidRDefault="00401CE2" w:rsidP="00401CE2">
      <w:pPr>
        <w:tabs>
          <w:tab w:val="left" w:pos="0"/>
        </w:tabs>
        <w:spacing w:line="222" w:lineRule="auto"/>
        <w:ind w:right="140" w:hanging="4"/>
        <w:rPr>
          <w:rFonts w:eastAsia="Calibri" w:cs="Calibri"/>
        </w:rPr>
      </w:pPr>
    </w:p>
    <w:p w:rsidR="00401CE2" w:rsidRPr="00FF7D02" w:rsidRDefault="00401CE2" w:rsidP="00401CE2">
      <w:pPr>
        <w:tabs>
          <w:tab w:val="left" w:pos="0"/>
        </w:tabs>
        <w:spacing w:line="222" w:lineRule="auto"/>
        <w:ind w:right="140" w:hanging="4"/>
        <w:rPr>
          <w:rFonts w:eastAsia="Calibri" w:cs="Calibri"/>
        </w:rPr>
      </w:pPr>
    </w:p>
    <w:p w:rsidR="00401CE2" w:rsidRPr="00FF7D02" w:rsidRDefault="00401CE2" w:rsidP="00401CE2">
      <w:pPr>
        <w:tabs>
          <w:tab w:val="left" w:pos="0"/>
        </w:tabs>
        <w:spacing w:line="222" w:lineRule="auto"/>
        <w:ind w:right="140" w:hanging="4"/>
        <w:rPr>
          <w:rFonts w:eastAsia="Calibri" w:cs="Calibri"/>
        </w:rPr>
      </w:pPr>
    </w:p>
    <w:p w:rsidR="00401CE2" w:rsidRPr="00FF7D02" w:rsidRDefault="00401CE2" w:rsidP="00401CE2">
      <w:pPr>
        <w:tabs>
          <w:tab w:val="left" w:pos="0"/>
        </w:tabs>
        <w:spacing w:line="222" w:lineRule="auto"/>
        <w:ind w:right="140" w:hanging="4"/>
        <w:rPr>
          <w:rFonts w:eastAsia="Calibri" w:cs="Calibri"/>
        </w:rPr>
      </w:pPr>
    </w:p>
    <w:p w:rsidR="00401CE2" w:rsidRPr="00FF7D02" w:rsidRDefault="00401CE2" w:rsidP="00401CE2">
      <w:pPr>
        <w:tabs>
          <w:tab w:val="left" w:pos="0"/>
        </w:tabs>
        <w:spacing w:line="222" w:lineRule="auto"/>
        <w:ind w:right="140" w:hanging="4"/>
        <w:rPr>
          <w:rFonts w:eastAsia="Calibri" w:cs="Calibri"/>
        </w:rPr>
      </w:pPr>
    </w:p>
    <w:p w:rsidR="00401CE2" w:rsidRPr="00FF7D02" w:rsidRDefault="00401CE2" w:rsidP="00401CE2">
      <w:pPr>
        <w:tabs>
          <w:tab w:val="left" w:pos="0"/>
        </w:tabs>
        <w:spacing w:line="222" w:lineRule="auto"/>
        <w:ind w:right="140" w:hanging="4"/>
        <w:rPr>
          <w:rFonts w:eastAsia="Calibri" w:cs="Calibri"/>
        </w:rPr>
      </w:pPr>
    </w:p>
    <w:p w:rsidR="00401CE2" w:rsidRPr="00401CE2" w:rsidRDefault="00401CE2" w:rsidP="00401CE2">
      <w:pPr>
        <w:pStyle w:val="Default"/>
      </w:pPr>
    </w:p>
    <w:p w:rsidR="00464C14" w:rsidRPr="00FF7D02" w:rsidRDefault="00464C14" w:rsidP="00FF7D02">
      <w:pPr>
        <w:tabs>
          <w:tab w:val="left" w:pos="0"/>
        </w:tabs>
        <w:spacing w:line="222" w:lineRule="auto"/>
        <w:ind w:right="140" w:hanging="4"/>
        <w:rPr>
          <w:rFonts w:eastAsia="Calibri" w:cs="Calibri"/>
        </w:rPr>
      </w:pPr>
    </w:p>
    <w:p w:rsidR="00464C14" w:rsidRPr="00FF7D02" w:rsidRDefault="00464C14" w:rsidP="00FF7D02">
      <w:pPr>
        <w:tabs>
          <w:tab w:val="left" w:pos="0"/>
        </w:tabs>
        <w:spacing w:line="222" w:lineRule="auto"/>
        <w:ind w:right="140" w:hanging="4"/>
        <w:rPr>
          <w:rFonts w:eastAsia="Calibri" w:cs="Calibri"/>
        </w:rPr>
      </w:pPr>
    </w:p>
    <w:p w:rsidR="00464C14" w:rsidRPr="00FF7D02" w:rsidRDefault="00464C14" w:rsidP="00FF7D02">
      <w:pPr>
        <w:tabs>
          <w:tab w:val="left" w:pos="0"/>
        </w:tabs>
        <w:spacing w:line="222" w:lineRule="auto"/>
        <w:ind w:right="140" w:hanging="4"/>
        <w:rPr>
          <w:rFonts w:eastAsia="Calibri" w:cs="Calibri"/>
        </w:rPr>
      </w:pPr>
    </w:p>
    <w:p w:rsidR="00464C14" w:rsidRDefault="00464C14"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1E1167">
      <w:pPr>
        <w:tabs>
          <w:tab w:val="left" w:pos="0"/>
        </w:tabs>
        <w:spacing w:line="222" w:lineRule="auto"/>
        <w:ind w:right="140" w:hanging="4"/>
        <w:jc w:val="center"/>
        <w:rPr>
          <w:rFonts w:eastAsia="Calibri" w:cs="Calibri"/>
        </w:rPr>
      </w:pPr>
      <w:r w:rsidRPr="001E1167">
        <w:rPr>
          <w:rFonts w:eastAsia="Calibri"/>
          <w:noProof/>
        </w:rPr>
        <w:drawing>
          <wp:inline distT="0" distB="0" distL="0" distR="0">
            <wp:extent cx="5848350" cy="8816878"/>
            <wp:effectExtent l="19050" t="0" r="0" b="0"/>
            <wp:docPr id="1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5850535" cy="8820171"/>
                    </a:xfrm>
                    <a:prstGeom prst="rect">
                      <a:avLst/>
                    </a:prstGeom>
                    <a:noFill/>
                    <a:ln w="9525">
                      <a:noFill/>
                      <a:miter lim="800000"/>
                      <a:headEnd/>
                      <a:tailEnd/>
                    </a:ln>
                  </pic:spPr>
                </pic:pic>
              </a:graphicData>
            </a:graphic>
          </wp:inline>
        </w:drawing>
      </w: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1E1167">
      <w:pPr>
        <w:tabs>
          <w:tab w:val="left" w:pos="0"/>
        </w:tabs>
        <w:spacing w:line="222" w:lineRule="auto"/>
        <w:ind w:right="140" w:hanging="4"/>
        <w:jc w:val="center"/>
        <w:rPr>
          <w:rFonts w:eastAsia="Calibri" w:cs="Calibri"/>
        </w:rPr>
      </w:pPr>
      <w:r w:rsidRPr="001E1167">
        <w:rPr>
          <w:rFonts w:eastAsia="Calibri"/>
          <w:noProof/>
        </w:rPr>
        <w:drawing>
          <wp:inline distT="0" distB="0" distL="0" distR="0">
            <wp:extent cx="5972175" cy="8791527"/>
            <wp:effectExtent l="19050" t="0" r="9525" b="0"/>
            <wp:docPr id="19"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5975781" cy="8796835"/>
                    </a:xfrm>
                    <a:prstGeom prst="rect">
                      <a:avLst/>
                    </a:prstGeom>
                    <a:noFill/>
                    <a:ln w="9525">
                      <a:noFill/>
                      <a:miter lim="800000"/>
                      <a:headEnd/>
                      <a:tailEnd/>
                    </a:ln>
                  </pic:spPr>
                </pic:pic>
              </a:graphicData>
            </a:graphic>
          </wp:inline>
        </w:drawing>
      </w: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r w:rsidRPr="001E1167">
        <w:rPr>
          <w:rFonts w:eastAsia="Calibri"/>
          <w:noProof/>
        </w:rPr>
        <w:drawing>
          <wp:inline distT="0" distB="0" distL="0" distR="0">
            <wp:extent cx="6120130" cy="5301610"/>
            <wp:effectExtent l="19050" t="0" r="0" b="0"/>
            <wp:docPr id="21"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6120130" cy="5301610"/>
                    </a:xfrm>
                    <a:prstGeom prst="rect">
                      <a:avLst/>
                    </a:prstGeom>
                    <a:noFill/>
                    <a:ln w="9525">
                      <a:noFill/>
                      <a:miter lim="800000"/>
                      <a:headEnd/>
                      <a:tailEnd/>
                    </a:ln>
                  </pic:spPr>
                </pic:pic>
              </a:graphicData>
            </a:graphic>
          </wp:inline>
        </w:drawing>
      </w: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r w:rsidRPr="001E1167">
        <w:rPr>
          <w:rFonts w:eastAsia="Calibri"/>
          <w:noProof/>
        </w:rPr>
        <w:drawing>
          <wp:inline distT="0" distB="0" distL="0" distR="0">
            <wp:extent cx="6120130" cy="8890935"/>
            <wp:effectExtent l="19050" t="0" r="0" b="0"/>
            <wp:docPr id="22"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srcRect/>
                    <a:stretch>
                      <a:fillRect/>
                    </a:stretch>
                  </pic:blipFill>
                  <pic:spPr bwMode="auto">
                    <a:xfrm>
                      <a:off x="0" y="0"/>
                      <a:ext cx="6120130" cy="8890935"/>
                    </a:xfrm>
                    <a:prstGeom prst="rect">
                      <a:avLst/>
                    </a:prstGeom>
                    <a:noFill/>
                    <a:ln w="9525">
                      <a:noFill/>
                      <a:miter lim="800000"/>
                      <a:headEnd/>
                      <a:tailEnd/>
                    </a:ln>
                  </pic:spPr>
                </pic:pic>
              </a:graphicData>
            </a:graphic>
          </wp:inline>
        </w:drawing>
      </w: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r w:rsidRPr="001E1167">
        <w:rPr>
          <w:rFonts w:eastAsia="Calibri"/>
          <w:noProof/>
        </w:rPr>
        <w:drawing>
          <wp:inline distT="0" distB="0" distL="0" distR="0">
            <wp:extent cx="6120130" cy="7694991"/>
            <wp:effectExtent l="19050" t="0" r="0" b="0"/>
            <wp:docPr id="23"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srcRect/>
                    <a:stretch>
                      <a:fillRect/>
                    </a:stretch>
                  </pic:blipFill>
                  <pic:spPr bwMode="auto">
                    <a:xfrm>
                      <a:off x="0" y="0"/>
                      <a:ext cx="6120130" cy="7694991"/>
                    </a:xfrm>
                    <a:prstGeom prst="rect">
                      <a:avLst/>
                    </a:prstGeom>
                    <a:noFill/>
                    <a:ln w="9525">
                      <a:noFill/>
                      <a:miter lim="800000"/>
                      <a:headEnd/>
                      <a:tailEnd/>
                    </a:ln>
                  </pic:spPr>
                </pic:pic>
              </a:graphicData>
            </a:graphic>
          </wp:inline>
        </w:drawing>
      </w: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p w:rsidR="001E1167" w:rsidRDefault="001E1167" w:rsidP="00FF7D02">
      <w:pPr>
        <w:tabs>
          <w:tab w:val="left" w:pos="0"/>
        </w:tabs>
        <w:spacing w:line="222" w:lineRule="auto"/>
        <w:ind w:right="140" w:hanging="4"/>
        <w:rPr>
          <w:rFonts w:eastAsia="Calibri" w:cs="Calibri"/>
        </w:rPr>
      </w:pPr>
    </w:p>
    <w:sectPr w:rsidR="001E1167" w:rsidSect="001E1167">
      <w:headerReference w:type="default" r:id="rId20"/>
      <w:footerReference w:type="default" r:id="rId21"/>
      <w:pgSz w:w="11906" w:h="16838" w:code="9"/>
      <w:pgMar w:top="1418"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BFA" w:rsidRDefault="002B6BFA" w:rsidP="009E763C">
      <w:r>
        <w:separator/>
      </w:r>
    </w:p>
  </w:endnote>
  <w:endnote w:type="continuationSeparator" w:id="0">
    <w:p w:rsidR="002B6BFA" w:rsidRDefault="002B6BFA" w:rsidP="009E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Helvetica Linotyp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9828"/>
      <w:docPartObj>
        <w:docPartGallery w:val="Page Numbers (Bottom of Page)"/>
        <w:docPartUnique/>
      </w:docPartObj>
    </w:sdtPr>
    <w:sdtEndPr>
      <w:rPr>
        <w:sz w:val="18"/>
        <w:szCs w:val="18"/>
      </w:rPr>
    </w:sdtEndPr>
    <w:sdtContent>
      <w:p w:rsidR="0067678A" w:rsidRDefault="0067678A" w:rsidP="001E6D84">
        <w:pPr>
          <w:pStyle w:val="Pidipagina"/>
          <w:jc w:val="right"/>
        </w:pPr>
      </w:p>
      <w:p w:rsidR="0067678A" w:rsidRPr="00207217" w:rsidRDefault="006E19FF" w:rsidP="001E6D84">
        <w:pPr>
          <w:pStyle w:val="Pidipagina"/>
          <w:jc w:val="right"/>
          <w:rPr>
            <w:sz w:val="18"/>
            <w:szCs w:val="18"/>
          </w:rPr>
        </w:pPr>
        <w:r w:rsidRPr="00207217">
          <w:rPr>
            <w:sz w:val="18"/>
            <w:szCs w:val="18"/>
          </w:rPr>
          <w:fldChar w:fldCharType="begin"/>
        </w:r>
        <w:r w:rsidR="0067678A" w:rsidRPr="00207217">
          <w:rPr>
            <w:sz w:val="18"/>
            <w:szCs w:val="18"/>
          </w:rPr>
          <w:instrText>PAGE   \* MERGEFORMAT</w:instrText>
        </w:r>
        <w:r w:rsidRPr="00207217">
          <w:rPr>
            <w:sz w:val="18"/>
            <w:szCs w:val="18"/>
          </w:rPr>
          <w:fldChar w:fldCharType="separate"/>
        </w:r>
        <w:r w:rsidR="00323C43" w:rsidRPr="00323C43">
          <w:rPr>
            <w:noProof/>
            <w:sz w:val="18"/>
            <w:szCs w:val="18"/>
            <w:lang w:val="it-IT"/>
          </w:rPr>
          <w:t>5</w:t>
        </w:r>
        <w:r w:rsidRPr="00207217">
          <w:rPr>
            <w:noProof/>
            <w:sz w:val="18"/>
            <w:szCs w:val="18"/>
            <w:lang w:val="it-IT"/>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BFA" w:rsidRDefault="002B6BFA" w:rsidP="009E763C">
      <w:r>
        <w:separator/>
      </w:r>
    </w:p>
  </w:footnote>
  <w:footnote w:type="continuationSeparator" w:id="0">
    <w:p w:rsidR="002B6BFA" w:rsidRDefault="002B6BFA" w:rsidP="009E7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78A" w:rsidRDefault="0067678A" w:rsidP="002A5764">
    <w:pPr>
      <w:pStyle w:val="Intestazione"/>
      <w:jc w:val="center"/>
      <w:rPr>
        <w:sz w:val="14"/>
      </w:rPr>
    </w:pPr>
  </w:p>
  <w:p w:rsidR="0067678A" w:rsidRPr="003A5A57" w:rsidRDefault="0067678A" w:rsidP="001A02FA">
    <w:pPr>
      <w:pStyle w:val="Intestazione"/>
      <w:tabs>
        <w:tab w:val="clear" w:pos="4819"/>
        <w:tab w:val="center" w:pos="4395"/>
      </w:tabs>
      <w:rPr>
        <w:sz w:val="15"/>
        <w:szCs w:val="15"/>
        <w:lang w:val="it-IT"/>
      </w:rPr>
    </w:pPr>
    <w:r w:rsidRPr="003A5A57">
      <w:rPr>
        <w:sz w:val="15"/>
        <w:szCs w:val="15"/>
        <w:lang w:val="it-IT"/>
      </w:rPr>
      <w:t xml:space="preserve">Gal Langhe Roero Leader </w:t>
    </w:r>
    <w:r>
      <w:rPr>
        <w:sz w:val="15"/>
        <w:szCs w:val="15"/>
        <w:lang w:val="it-IT"/>
      </w:rPr>
      <w:t>scarl</w:t>
    </w:r>
    <w:r w:rsidR="006126DA">
      <w:rPr>
        <w:sz w:val="15"/>
        <w:szCs w:val="15"/>
        <w:lang w:val="it-IT"/>
      </w:rPr>
      <w:tab/>
    </w:r>
    <w:r w:rsidR="006126DA">
      <w:rPr>
        <w:sz w:val="15"/>
        <w:szCs w:val="15"/>
        <w:lang w:val="it-IT"/>
      </w:rPr>
      <w:tab/>
    </w:r>
    <w:r w:rsidR="00A515DF">
      <w:rPr>
        <w:sz w:val="15"/>
        <w:szCs w:val="15"/>
        <w:lang w:val="it-IT"/>
      </w:rPr>
      <w:t xml:space="preserve">Appendici A </w:t>
    </w:r>
    <w:r w:rsidR="007B5F8D">
      <w:rPr>
        <w:sz w:val="15"/>
        <w:szCs w:val="15"/>
        <w:lang w:val="it-IT"/>
      </w:rPr>
      <w:t>e</w:t>
    </w:r>
    <w:r w:rsidR="00A515DF">
      <w:rPr>
        <w:sz w:val="15"/>
        <w:szCs w:val="15"/>
        <w:lang w:val="it-IT"/>
      </w:rPr>
      <w:t xml:space="preserve"> B</w:t>
    </w:r>
    <w:r w:rsidR="006126DA">
      <w:rPr>
        <w:sz w:val="15"/>
        <w:szCs w:val="15"/>
        <w:lang w:val="it-IT"/>
      </w:rPr>
      <w:t xml:space="preserve"> </w:t>
    </w:r>
    <w:r w:rsidR="00E83DAA">
      <w:rPr>
        <w:sz w:val="15"/>
        <w:szCs w:val="15"/>
        <w:lang w:val="it-IT"/>
      </w:rPr>
      <w:t>-</w:t>
    </w:r>
    <w:r w:rsidRPr="003A5A57">
      <w:rPr>
        <w:sz w:val="15"/>
        <w:szCs w:val="15"/>
        <w:lang w:val="it-IT"/>
      </w:rPr>
      <w:t xml:space="preserve"> Bando</w:t>
    </w:r>
    <w:r w:rsidR="001A02FA">
      <w:rPr>
        <w:sz w:val="15"/>
        <w:szCs w:val="15"/>
        <w:lang w:val="it-IT"/>
      </w:rPr>
      <w:t xml:space="preserve"> 1/2019 </w:t>
    </w:r>
    <w:proofErr w:type="spellStart"/>
    <w:r w:rsidRPr="003A5A57">
      <w:rPr>
        <w:sz w:val="15"/>
        <w:szCs w:val="15"/>
        <w:lang w:val="it-IT"/>
      </w:rPr>
      <w:t>Operaz</w:t>
    </w:r>
    <w:proofErr w:type="spellEnd"/>
    <w:r w:rsidR="007B5F8D">
      <w:rPr>
        <w:sz w:val="15"/>
        <w:szCs w:val="15"/>
        <w:lang w:val="it-IT"/>
      </w:rPr>
      <w:t xml:space="preserve">. </w:t>
    </w:r>
    <w:r>
      <w:rPr>
        <w:sz w:val="15"/>
        <w:szCs w:val="15"/>
        <w:lang w:val="it-IT"/>
      </w:rPr>
      <w:t>7.6.4.</w:t>
    </w:r>
  </w:p>
  <w:p w:rsidR="0067678A" w:rsidRPr="00766E1C" w:rsidRDefault="0067678A" w:rsidP="00766E1C">
    <w:pPr>
      <w:pStyle w:val="Intestazione"/>
      <w:jc w:val="center"/>
      <w:rPr>
        <w:sz w:val="14"/>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4F"/>
    <w:multiLevelType w:val="hybridMultilevel"/>
    <w:tmpl w:val="D79AE690"/>
    <w:lvl w:ilvl="0" w:tplc="0410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58"/>
    <w:multiLevelType w:val="hybridMultilevel"/>
    <w:tmpl w:val="7F01579A"/>
    <w:lvl w:ilvl="0" w:tplc="FFFFFFFF">
      <w:start w:val="9"/>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D2508"/>
    <w:multiLevelType w:val="hybridMultilevel"/>
    <w:tmpl w:val="CA440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EC1095"/>
    <w:multiLevelType w:val="hybridMultilevel"/>
    <w:tmpl w:val="0ECAD9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883378"/>
    <w:multiLevelType w:val="multilevel"/>
    <w:tmpl w:val="5C6E7D5E"/>
    <w:name w:val="WW8Num343222"/>
    <w:lvl w:ilvl="0">
      <w:start w:val="1"/>
      <w:numFmt w:val="decimal"/>
      <w:lvlText w:val="%1."/>
      <w:lvlJc w:val="left"/>
      <w:pPr>
        <w:ind w:left="786" w:hanging="360"/>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5" w15:restartNumberingAfterBreak="0">
    <w:nsid w:val="19A8081F"/>
    <w:multiLevelType w:val="hybridMultilevel"/>
    <w:tmpl w:val="81D8BD74"/>
    <w:lvl w:ilvl="0" w:tplc="56323D0C">
      <w:start w:val="1"/>
      <w:numFmt w:val="lowerLetter"/>
      <w:lvlText w:val="%1)"/>
      <w:lvlJc w:val="left"/>
      <w:pPr>
        <w:ind w:left="1004" w:hanging="360"/>
      </w:pPr>
      <w:rPr>
        <w:rFonts w:ascii="Arial" w:hAnsi="Arial" w:hint="default"/>
        <w:b w:val="0"/>
        <w:i w:val="0"/>
        <w:sz w:val="18"/>
        <w:szCs w:val="16"/>
      </w:rPr>
    </w:lvl>
    <w:lvl w:ilvl="1" w:tplc="04100001">
      <w:start w:val="1"/>
      <w:numFmt w:val="bullet"/>
      <w:lvlText w:val=""/>
      <w:lvlJc w:val="left"/>
      <w:pPr>
        <w:ind w:left="1724" w:hanging="360"/>
      </w:pPr>
      <w:rPr>
        <w:rFonts w:ascii="Symbol" w:hAnsi="Symbol" w:hint="default"/>
        <w:b w:val="0"/>
        <w:i w:val="0"/>
        <w:sz w:val="18"/>
        <w:szCs w:val="16"/>
      </w:rPr>
    </w:lvl>
    <w:lvl w:ilvl="2" w:tplc="57FCC52A">
      <w:start w:val="1"/>
      <w:numFmt w:val="upperLetter"/>
      <w:lvlText w:val="%3)"/>
      <w:lvlJc w:val="left"/>
      <w:pPr>
        <w:ind w:left="2624" w:hanging="360"/>
      </w:pPr>
      <w:rPr>
        <w:rFonts w:hint="default"/>
      </w:r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1A54483D"/>
    <w:multiLevelType w:val="multilevel"/>
    <w:tmpl w:val="273695C6"/>
    <w:lvl w:ilvl="0">
      <w:start w:val="1"/>
      <w:numFmt w:val="lowerLetter"/>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4B1859"/>
    <w:multiLevelType w:val="hybridMultilevel"/>
    <w:tmpl w:val="7E120C74"/>
    <w:lvl w:ilvl="0" w:tplc="0410000F">
      <w:start w:val="1"/>
      <w:numFmt w:val="decimal"/>
      <w:lvlText w:val="%1."/>
      <w:lvlJc w:val="left"/>
      <w:pPr>
        <w:ind w:left="6031" w:hanging="360"/>
      </w:pPr>
      <w:rPr>
        <w:rFont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1C7C7964"/>
    <w:multiLevelType w:val="multilevel"/>
    <w:tmpl w:val="01DA4F3C"/>
    <w:name w:val="WW8Num2222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F053789"/>
    <w:multiLevelType w:val="hybridMultilevel"/>
    <w:tmpl w:val="07966DD2"/>
    <w:lvl w:ilvl="0" w:tplc="F484178A">
      <w:start w:val="4"/>
      <w:numFmt w:val="bullet"/>
      <w:lvlText w:val="-"/>
      <w:lvlJc w:val="left"/>
      <w:pPr>
        <w:ind w:left="1440" w:hanging="360"/>
      </w:pPr>
      <w:rPr>
        <w:rFonts w:ascii="Calibri" w:eastAsiaTheme="minorHAnsi" w:hAnsi="Calibri"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2318796D"/>
    <w:multiLevelType w:val="hybridMultilevel"/>
    <w:tmpl w:val="173E260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240477BD"/>
    <w:multiLevelType w:val="hybridMultilevel"/>
    <w:tmpl w:val="A2AC0A5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29531B78"/>
    <w:multiLevelType w:val="hybridMultilevel"/>
    <w:tmpl w:val="151A0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EC2011"/>
    <w:multiLevelType w:val="hybridMultilevel"/>
    <w:tmpl w:val="4A4A8320"/>
    <w:lvl w:ilvl="0" w:tplc="F484178A">
      <w:start w:val="4"/>
      <w:numFmt w:val="bullet"/>
      <w:lvlText w:val="-"/>
      <w:lvlJc w:val="left"/>
      <w:pPr>
        <w:ind w:left="531" w:hanging="360"/>
      </w:pPr>
      <w:rPr>
        <w:rFonts w:ascii="Calibri" w:eastAsiaTheme="minorHAnsi" w:hAnsi="Calibri" w:cs="Arial" w:hint="default"/>
      </w:rPr>
    </w:lvl>
    <w:lvl w:ilvl="1" w:tplc="04100003" w:tentative="1">
      <w:start w:val="1"/>
      <w:numFmt w:val="bullet"/>
      <w:lvlText w:val="o"/>
      <w:lvlJc w:val="left"/>
      <w:pPr>
        <w:ind w:left="1251" w:hanging="360"/>
      </w:pPr>
      <w:rPr>
        <w:rFonts w:ascii="Courier New" w:hAnsi="Courier New" w:cs="Courier New" w:hint="default"/>
      </w:rPr>
    </w:lvl>
    <w:lvl w:ilvl="2" w:tplc="04100005" w:tentative="1">
      <w:start w:val="1"/>
      <w:numFmt w:val="bullet"/>
      <w:lvlText w:val=""/>
      <w:lvlJc w:val="left"/>
      <w:pPr>
        <w:ind w:left="1971" w:hanging="360"/>
      </w:pPr>
      <w:rPr>
        <w:rFonts w:ascii="Wingdings" w:hAnsi="Wingdings" w:hint="default"/>
      </w:rPr>
    </w:lvl>
    <w:lvl w:ilvl="3" w:tplc="04100001" w:tentative="1">
      <w:start w:val="1"/>
      <w:numFmt w:val="bullet"/>
      <w:lvlText w:val=""/>
      <w:lvlJc w:val="left"/>
      <w:pPr>
        <w:ind w:left="2691" w:hanging="360"/>
      </w:pPr>
      <w:rPr>
        <w:rFonts w:ascii="Symbol" w:hAnsi="Symbol" w:hint="default"/>
      </w:rPr>
    </w:lvl>
    <w:lvl w:ilvl="4" w:tplc="04100003" w:tentative="1">
      <w:start w:val="1"/>
      <w:numFmt w:val="bullet"/>
      <w:lvlText w:val="o"/>
      <w:lvlJc w:val="left"/>
      <w:pPr>
        <w:ind w:left="3411" w:hanging="360"/>
      </w:pPr>
      <w:rPr>
        <w:rFonts w:ascii="Courier New" w:hAnsi="Courier New" w:cs="Courier New" w:hint="default"/>
      </w:rPr>
    </w:lvl>
    <w:lvl w:ilvl="5" w:tplc="04100005" w:tentative="1">
      <w:start w:val="1"/>
      <w:numFmt w:val="bullet"/>
      <w:lvlText w:val=""/>
      <w:lvlJc w:val="left"/>
      <w:pPr>
        <w:ind w:left="4131" w:hanging="360"/>
      </w:pPr>
      <w:rPr>
        <w:rFonts w:ascii="Wingdings" w:hAnsi="Wingdings" w:hint="default"/>
      </w:rPr>
    </w:lvl>
    <w:lvl w:ilvl="6" w:tplc="04100001" w:tentative="1">
      <w:start w:val="1"/>
      <w:numFmt w:val="bullet"/>
      <w:lvlText w:val=""/>
      <w:lvlJc w:val="left"/>
      <w:pPr>
        <w:ind w:left="4851" w:hanging="360"/>
      </w:pPr>
      <w:rPr>
        <w:rFonts w:ascii="Symbol" w:hAnsi="Symbol" w:hint="default"/>
      </w:rPr>
    </w:lvl>
    <w:lvl w:ilvl="7" w:tplc="04100003" w:tentative="1">
      <w:start w:val="1"/>
      <w:numFmt w:val="bullet"/>
      <w:lvlText w:val="o"/>
      <w:lvlJc w:val="left"/>
      <w:pPr>
        <w:ind w:left="5571" w:hanging="360"/>
      </w:pPr>
      <w:rPr>
        <w:rFonts w:ascii="Courier New" w:hAnsi="Courier New" w:cs="Courier New" w:hint="default"/>
      </w:rPr>
    </w:lvl>
    <w:lvl w:ilvl="8" w:tplc="04100005" w:tentative="1">
      <w:start w:val="1"/>
      <w:numFmt w:val="bullet"/>
      <w:lvlText w:val=""/>
      <w:lvlJc w:val="left"/>
      <w:pPr>
        <w:ind w:left="6291" w:hanging="360"/>
      </w:pPr>
      <w:rPr>
        <w:rFonts w:ascii="Wingdings" w:hAnsi="Wingdings" w:hint="default"/>
      </w:rPr>
    </w:lvl>
  </w:abstractNum>
  <w:abstractNum w:abstractNumId="14" w15:restartNumberingAfterBreak="0">
    <w:nsid w:val="344F03C9"/>
    <w:multiLevelType w:val="hybridMultilevel"/>
    <w:tmpl w:val="D23E54C8"/>
    <w:lvl w:ilvl="0" w:tplc="BAF874D0">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407F4B"/>
    <w:multiLevelType w:val="hybridMultilevel"/>
    <w:tmpl w:val="C3A081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D7877B4"/>
    <w:multiLevelType w:val="hybridMultilevel"/>
    <w:tmpl w:val="E7B6D00C"/>
    <w:lvl w:ilvl="0" w:tplc="02525520">
      <w:start w:val="1"/>
      <w:numFmt w:val="lowerLetter"/>
      <w:lvlText w:val="%1)"/>
      <w:lvlJc w:val="left"/>
      <w:pPr>
        <w:ind w:left="720" w:hanging="360"/>
      </w:pPr>
      <w:rPr>
        <w:rFonts w:hint="default"/>
      </w:rPr>
    </w:lvl>
    <w:lvl w:ilvl="1" w:tplc="BAF874D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DA819B0"/>
    <w:multiLevelType w:val="hybridMultilevel"/>
    <w:tmpl w:val="0ECAD9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D060DC"/>
    <w:multiLevelType w:val="hybridMultilevel"/>
    <w:tmpl w:val="61DC9014"/>
    <w:lvl w:ilvl="0" w:tplc="56323D0C">
      <w:start w:val="1"/>
      <w:numFmt w:val="lowerLetter"/>
      <w:lvlText w:val="%1)"/>
      <w:lvlJc w:val="left"/>
      <w:pPr>
        <w:ind w:left="720" w:hanging="360"/>
      </w:pPr>
      <w:rPr>
        <w:rFonts w:ascii="Arial" w:hAnsi="Arial" w:hint="default"/>
        <w:b w:val="0"/>
        <w:i w:val="0"/>
        <w:sz w:val="18"/>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1C27CCE"/>
    <w:multiLevelType w:val="multilevel"/>
    <w:tmpl w:val="7DF47A26"/>
    <w:lvl w:ilvl="0">
      <w:start w:val="1"/>
      <w:numFmt w:val="upperLetter"/>
      <w:lvlText w:val="%1."/>
      <w:lvlJc w:val="left"/>
      <w:pPr>
        <w:ind w:left="1004" w:hanging="360"/>
      </w:pPr>
      <w:rPr>
        <w:rFonts w:hint="default"/>
      </w:rPr>
    </w:lvl>
    <w:lvl w:ilvl="1">
      <w:start w:val="1"/>
      <w:numFmt w:val="bullet"/>
      <w:lvlText w:val=""/>
      <w:lvlJc w:val="left"/>
      <w:pPr>
        <w:ind w:left="1134" w:hanging="425"/>
      </w:pPr>
      <w:rPr>
        <w:rFonts w:ascii="Symbol" w:hAnsi="Symbol"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0" w15:restartNumberingAfterBreak="0">
    <w:nsid w:val="45812CB5"/>
    <w:multiLevelType w:val="hybridMultilevel"/>
    <w:tmpl w:val="0D18A362"/>
    <w:lvl w:ilvl="0" w:tplc="0410000F">
      <w:start w:val="1"/>
      <w:numFmt w:val="decimal"/>
      <w:lvlText w:val="%1."/>
      <w:lvlJc w:val="left"/>
      <w:pPr>
        <w:ind w:left="720" w:hanging="360"/>
      </w:pPr>
      <w:rPr>
        <w:rFonts w:hint="default"/>
      </w:rPr>
    </w:lvl>
    <w:lvl w:ilvl="1" w:tplc="99C0DCAA">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836699"/>
    <w:multiLevelType w:val="hybridMultilevel"/>
    <w:tmpl w:val="9C9ED99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797205"/>
    <w:multiLevelType w:val="hybridMultilevel"/>
    <w:tmpl w:val="E5E071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E014DF7"/>
    <w:multiLevelType w:val="hybridMultilevel"/>
    <w:tmpl w:val="68C0015C"/>
    <w:lvl w:ilvl="0" w:tplc="477E04AE">
      <w:start w:val="1"/>
      <w:numFmt w:val="bullet"/>
      <w:lvlText w:val=""/>
      <w:lvlJc w:val="left"/>
      <w:pPr>
        <w:ind w:left="1362" w:hanging="360"/>
      </w:pPr>
      <w:rPr>
        <w:rFonts w:ascii="Symbol" w:hAnsi="Symbol" w:hint="default"/>
      </w:rPr>
    </w:lvl>
    <w:lvl w:ilvl="1" w:tplc="04100003" w:tentative="1">
      <w:start w:val="1"/>
      <w:numFmt w:val="bullet"/>
      <w:lvlText w:val="o"/>
      <w:lvlJc w:val="left"/>
      <w:pPr>
        <w:ind w:left="2082" w:hanging="360"/>
      </w:pPr>
      <w:rPr>
        <w:rFonts w:ascii="Courier New" w:hAnsi="Courier New" w:cs="Courier New" w:hint="default"/>
      </w:rPr>
    </w:lvl>
    <w:lvl w:ilvl="2" w:tplc="04100005" w:tentative="1">
      <w:start w:val="1"/>
      <w:numFmt w:val="bullet"/>
      <w:lvlText w:val=""/>
      <w:lvlJc w:val="left"/>
      <w:pPr>
        <w:ind w:left="2802" w:hanging="360"/>
      </w:pPr>
      <w:rPr>
        <w:rFonts w:ascii="Wingdings" w:hAnsi="Wingdings" w:hint="default"/>
      </w:rPr>
    </w:lvl>
    <w:lvl w:ilvl="3" w:tplc="04100001" w:tentative="1">
      <w:start w:val="1"/>
      <w:numFmt w:val="bullet"/>
      <w:lvlText w:val=""/>
      <w:lvlJc w:val="left"/>
      <w:pPr>
        <w:ind w:left="3522" w:hanging="360"/>
      </w:pPr>
      <w:rPr>
        <w:rFonts w:ascii="Symbol" w:hAnsi="Symbol" w:hint="default"/>
      </w:rPr>
    </w:lvl>
    <w:lvl w:ilvl="4" w:tplc="04100003" w:tentative="1">
      <w:start w:val="1"/>
      <w:numFmt w:val="bullet"/>
      <w:lvlText w:val="o"/>
      <w:lvlJc w:val="left"/>
      <w:pPr>
        <w:ind w:left="4242" w:hanging="360"/>
      </w:pPr>
      <w:rPr>
        <w:rFonts w:ascii="Courier New" w:hAnsi="Courier New" w:cs="Courier New" w:hint="default"/>
      </w:rPr>
    </w:lvl>
    <w:lvl w:ilvl="5" w:tplc="04100005" w:tentative="1">
      <w:start w:val="1"/>
      <w:numFmt w:val="bullet"/>
      <w:lvlText w:val=""/>
      <w:lvlJc w:val="left"/>
      <w:pPr>
        <w:ind w:left="4962" w:hanging="360"/>
      </w:pPr>
      <w:rPr>
        <w:rFonts w:ascii="Wingdings" w:hAnsi="Wingdings" w:hint="default"/>
      </w:rPr>
    </w:lvl>
    <w:lvl w:ilvl="6" w:tplc="04100001" w:tentative="1">
      <w:start w:val="1"/>
      <w:numFmt w:val="bullet"/>
      <w:lvlText w:val=""/>
      <w:lvlJc w:val="left"/>
      <w:pPr>
        <w:ind w:left="5682" w:hanging="360"/>
      </w:pPr>
      <w:rPr>
        <w:rFonts w:ascii="Symbol" w:hAnsi="Symbol" w:hint="default"/>
      </w:rPr>
    </w:lvl>
    <w:lvl w:ilvl="7" w:tplc="04100003" w:tentative="1">
      <w:start w:val="1"/>
      <w:numFmt w:val="bullet"/>
      <w:lvlText w:val="o"/>
      <w:lvlJc w:val="left"/>
      <w:pPr>
        <w:ind w:left="6402" w:hanging="360"/>
      </w:pPr>
      <w:rPr>
        <w:rFonts w:ascii="Courier New" w:hAnsi="Courier New" w:cs="Courier New" w:hint="default"/>
      </w:rPr>
    </w:lvl>
    <w:lvl w:ilvl="8" w:tplc="04100005" w:tentative="1">
      <w:start w:val="1"/>
      <w:numFmt w:val="bullet"/>
      <w:lvlText w:val=""/>
      <w:lvlJc w:val="left"/>
      <w:pPr>
        <w:ind w:left="7122" w:hanging="360"/>
      </w:pPr>
      <w:rPr>
        <w:rFonts w:ascii="Wingdings" w:hAnsi="Wingdings" w:hint="default"/>
      </w:rPr>
    </w:lvl>
  </w:abstractNum>
  <w:abstractNum w:abstractNumId="24" w15:restartNumberingAfterBreak="0">
    <w:nsid w:val="4F3278A4"/>
    <w:multiLevelType w:val="multilevel"/>
    <w:tmpl w:val="159EAF9C"/>
    <w:name w:val="WW8Num343"/>
    <w:lvl w:ilvl="0">
      <w:start w:val="1"/>
      <w:numFmt w:val="decimal"/>
      <w:pStyle w:val="Titolo2"/>
      <w:lvlText w:val="%1."/>
      <w:lvlJc w:val="left"/>
      <w:pPr>
        <w:ind w:left="8724" w:hanging="360"/>
      </w:pPr>
      <w:rPr>
        <w:b/>
        <w:i w:val="0"/>
        <w:strike w:val="0"/>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5" w15:restartNumberingAfterBreak="0">
    <w:nsid w:val="5CEE5099"/>
    <w:multiLevelType w:val="hybridMultilevel"/>
    <w:tmpl w:val="901E5B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2231A1E"/>
    <w:multiLevelType w:val="hybridMultilevel"/>
    <w:tmpl w:val="7386701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3EF145B"/>
    <w:multiLevelType w:val="multilevel"/>
    <w:tmpl w:val="3E7C7CB0"/>
    <w:name w:val="WW8Num3432"/>
    <w:lvl w:ilvl="0">
      <w:start w:val="1"/>
      <w:numFmt w:val="decimal"/>
      <w:lvlText w:val="%1."/>
      <w:lvlJc w:val="left"/>
      <w:pPr>
        <w:ind w:left="786" w:hanging="360"/>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8" w15:restartNumberingAfterBreak="0">
    <w:nsid w:val="661C14B9"/>
    <w:multiLevelType w:val="hybridMultilevel"/>
    <w:tmpl w:val="44AC0432"/>
    <w:lvl w:ilvl="0" w:tplc="56323D0C">
      <w:start w:val="1"/>
      <w:numFmt w:val="lowerLetter"/>
      <w:lvlText w:val="%1)"/>
      <w:lvlJc w:val="left"/>
      <w:pPr>
        <w:ind w:left="720" w:hanging="360"/>
      </w:pPr>
      <w:rPr>
        <w:rFonts w:ascii="Arial" w:hAnsi="Arial" w:hint="default"/>
        <w:b w:val="0"/>
        <w:i w:val="0"/>
        <w:sz w:val="18"/>
        <w:szCs w:val="16"/>
      </w:rPr>
    </w:lvl>
    <w:lvl w:ilvl="1" w:tplc="0252552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93438AF"/>
    <w:multiLevelType w:val="hybridMultilevel"/>
    <w:tmpl w:val="65D8A78C"/>
    <w:lvl w:ilvl="0" w:tplc="4B50ADAA">
      <w:start w:val="1"/>
      <w:numFmt w:val="bullet"/>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A2B3648"/>
    <w:multiLevelType w:val="hybridMultilevel"/>
    <w:tmpl w:val="D7B2632E"/>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6BE153DB"/>
    <w:multiLevelType w:val="hybridMultilevel"/>
    <w:tmpl w:val="9670EC7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3472BA0"/>
    <w:multiLevelType w:val="hybridMultilevel"/>
    <w:tmpl w:val="D79AE690"/>
    <w:lvl w:ilvl="0" w:tplc="0410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75185FDD"/>
    <w:multiLevelType w:val="hybridMultilevel"/>
    <w:tmpl w:val="E6280D0A"/>
    <w:lvl w:ilvl="0" w:tplc="0410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798242FF"/>
    <w:multiLevelType w:val="hybridMultilevel"/>
    <w:tmpl w:val="55843516"/>
    <w:lvl w:ilvl="0" w:tplc="D8C81F5C">
      <w:start w:val="2"/>
      <w:numFmt w:val="bullet"/>
      <w:lvlText w:val="-"/>
      <w:lvlJc w:val="left"/>
      <w:pPr>
        <w:ind w:left="644" w:hanging="360"/>
      </w:pPr>
      <w:rPr>
        <w:rFonts w:ascii="Calibri" w:eastAsiaTheme="minorHAnsi"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5" w15:restartNumberingAfterBreak="0">
    <w:nsid w:val="7A7F210D"/>
    <w:multiLevelType w:val="multilevel"/>
    <w:tmpl w:val="557AA0F2"/>
    <w:name w:val="WW8Num34322"/>
    <w:lvl w:ilvl="0">
      <w:start w:val="1"/>
      <w:numFmt w:val="decimal"/>
      <w:lvlText w:val="%1."/>
      <w:lvlJc w:val="left"/>
      <w:pPr>
        <w:ind w:left="786" w:hanging="360"/>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36" w15:restartNumberingAfterBreak="0">
    <w:nsid w:val="7A9F737A"/>
    <w:multiLevelType w:val="multilevel"/>
    <w:tmpl w:val="29AAA872"/>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D6862F0"/>
    <w:multiLevelType w:val="hybridMultilevel"/>
    <w:tmpl w:val="9BDE0A8E"/>
    <w:lvl w:ilvl="0" w:tplc="638662F8">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8" w15:restartNumberingAfterBreak="0">
    <w:nsid w:val="7FFD4E61"/>
    <w:multiLevelType w:val="hybridMultilevel"/>
    <w:tmpl w:val="69CE65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0"/>
  </w:num>
  <w:num w:numId="3">
    <w:abstractNumId w:val="2"/>
  </w:num>
  <w:num w:numId="4">
    <w:abstractNumId w:val="36"/>
  </w:num>
  <w:num w:numId="5">
    <w:abstractNumId w:val="5"/>
  </w:num>
  <w:num w:numId="6">
    <w:abstractNumId w:val="7"/>
  </w:num>
  <w:num w:numId="7">
    <w:abstractNumId w:val="13"/>
  </w:num>
  <w:num w:numId="8">
    <w:abstractNumId w:val="18"/>
  </w:num>
  <w:num w:numId="9">
    <w:abstractNumId w:val="1"/>
  </w:num>
  <w:num w:numId="10">
    <w:abstractNumId w:val="29"/>
  </w:num>
  <w:num w:numId="11">
    <w:abstractNumId w:val="9"/>
  </w:num>
  <w:num w:numId="12">
    <w:abstractNumId w:val="38"/>
  </w:num>
  <w:num w:numId="13">
    <w:abstractNumId w:val="22"/>
  </w:num>
  <w:num w:numId="14">
    <w:abstractNumId w:val="26"/>
  </w:num>
  <w:num w:numId="15">
    <w:abstractNumId w:val="33"/>
  </w:num>
  <w:num w:numId="16">
    <w:abstractNumId w:val="30"/>
  </w:num>
  <w:num w:numId="17">
    <w:abstractNumId w:val="11"/>
  </w:num>
  <w:num w:numId="18">
    <w:abstractNumId w:val="10"/>
  </w:num>
  <w:num w:numId="19">
    <w:abstractNumId w:val="21"/>
  </w:num>
  <w:num w:numId="20">
    <w:abstractNumId w:val="34"/>
  </w:num>
  <w:num w:numId="21">
    <w:abstractNumId w:val="32"/>
  </w:num>
  <w:num w:numId="22">
    <w:abstractNumId w:val="12"/>
  </w:num>
  <w:num w:numId="23">
    <w:abstractNumId w:val="25"/>
  </w:num>
  <w:num w:numId="24">
    <w:abstractNumId w:val="19"/>
  </w:num>
  <w:num w:numId="25">
    <w:abstractNumId w:val="6"/>
  </w:num>
  <w:num w:numId="26">
    <w:abstractNumId w:val="37"/>
  </w:num>
  <w:num w:numId="27">
    <w:abstractNumId w:val="23"/>
  </w:num>
  <w:num w:numId="28">
    <w:abstractNumId w:val="3"/>
  </w:num>
  <w:num w:numId="29">
    <w:abstractNumId w:val="15"/>
  </w:num>
  <w:num w:numId="30">
    <w:abstractNumId w:val="17"/>
  </w:num>
  <w:num w:numId="31">
    <w:abstractNumId w:val="31"/>
  </w:num>
  <w:num w:numId="32">
    <w:abstractNumId w:val="20"/>
  </w:num>
  <w:num w:numId="33">
    <w:abstractNumId w:val="28"/>
  </w:num>
  <w:num w:numId="34">
    <w:abstractNumId w:val="16"/>
  </w:num>
  <w:num w:numId="3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E763C"/>
    <w:rsid w:val="00007D39"/>
    <w:rsid w:val="00015FDF"/>
    <w:rsid w:val="00034108"/>
    <w:rsid w:val="0003668C"/>
    <w:rsid w:val="000465A1"/>
    <w:rsid w:val="000554FA"/>
    <w:rsid w:val="0008079E"/>
    <w:rsid w:val="000A1DF3"/>
    <w:rsid w:val="000A6497"/>
    <w:rsid w:val="000B02F3"/>
    <w:rsid w:val="000B1C5C"/>
    <w:rsid w:val="000B27CB"/>
    <w:rsid w:val="000C745C"/>
    <w:rsid w:val="000E220F"/>
    <w:rsid w:val="000E2F64"/>
    <w:rsid w:val="000F2B88"/>
    <w:rsid w:val="000F5AE9"/>
    <w:rsid w:val="00111D4B"/>
    <w:rsid w:val="0011623A"/>
    <w:rsid w:val="00133756"/>
    <w:rsid w:val="001418CE"/>
    <w:rsid w:val="00141FCE"/>
    <w:rsid w:val="001423E4"/>
    <w:rsid w:val="001505CC"/>
    <w:rsid w:val="001871AA"/>
    <w:rsid w:val="00190463"/>
    <w:rsid w:val="001A02FA"/>
    <w:rsid w:val="001B0EA1"/>
    <w:rsid w:val="001B2B1B"/>
    <w:rsid w:val="001C3AFA"/>
    <w:rsid w:val="001C3BB0"/>
    <w:rsid w:val="001D5304"/>
    <w:rsid w:val="001D5B4A"/>
    <w:rsid w:val="001E07E2"/>
    <w:rsid w:val="001E1167"/>
    <w:rsid w:val="001E3F29"/>
    <w:rsid w:val="001E6D84"/>
    <w:rsid w:val="001F5325"/>
    <w:rsid w:val="00207217"/>
    <w:rsid w:val="002229CB"/>
    <w:rsid w:val="002306CC"/>
    <w:rsid w:val="00261BA4"/>
    <w:rsid w:val="00262695"/>
    <w:rsid w:val="002654CA"/>
    <w:rsid w:val="0027431E"/>
    <w:rsid w:val="0029012A"/>
    <w:rsid w:val="0029286E"/>
    <w:rsid w:val="002A0846"/>
    <w:rsid w:val="002A11FF"/>
    <w:rsid w:val="002A5764"/>
    <w:rsid w:val="002B6BFA"/>
    <w:rsid w:val="002B76B3"/>
    <w:rsid w:val="002C72F9"/>
    <w:rsid w:val="002D6A58"/>
    <w:rsid w:val="002E1FFE"/>
    <w:rsid w:val="002E5557"/>
    <w:rsid w:val="00312BAB"/>
    <w:rsid w:val="00316E6B"/>
    <w:rsid w:val="00323C43"/>
    <w:rsid w:val="003318A0"/>
    <w:rsid w:val="003569D3"/>
    <w:rsid w:val="0038024F"/>
    <w:rsid w:val="00383E4D"/>
    <w:rsid w:val="00390729"/>
    <w:rsid w:val="003A5A57"/>
    <w:rsid w:val="003B29D0"/>
    <w:rsid w:val="003C4DAB"/>
    <w:rsid w:val="003C76A5"/>
    <w:rsid w:val="003D3D8E"/>
    <w:rsid w:val="00400E85"/>
    <w:rsid w:val="00401CE2"/>
    <w:rsid w:val="00402C60"/>
    <w:rsid w:val="004224DD"/>
    <w:rsid w:val="004225B1"/>
    <w:rsid w:val="00426E5B"/>
    <w:rsid w:val="0043176F"/>
    <w:rsid w:val="00464C14"/>
    <w:rsid w:val="004662BB"/>
    <w:rsid w:val="004764AE"/>
    <w:rsid w:val="00493BA0"/>
    <w:rsid w:val="004942DA"/>
    <w:rsid w:val="004D1BDC"/>
    <w:rsid w:val="004D3E10"/>
    <w:rsid w:val="004D5428"/>
    <w:rsid w:val="004D64D8"/>
    <w:rsid w:val="004E706A"/>
    <w:rsid w:val="004F3894"/>
    <w:rsid w:val="00506188"/>
    <w:rsid w:val="00520D37"/>
    <w:rsid w:val="005277D6"/>
    <w:rsid w:val="005448B4"/>
    <w:rsid w:val="005506BB"/>
    <w:rsid w:val="00551327"/>
    <w:rsid w:val="00551F3C"/>
    <w:rsid w:val="00552045"/>
    <w:rsid w:val="0055657D"/>
    <w:rsid w:val="00565D1C"/>
    <w:rsid w:val="00571DB0"/>
    <w:rsid w:val="005726B6"/>
    <w:rsid w:val="005A0B82"/>
    <w:rsid w:val="005A174A"/>
    <w:rsid w:val="005A414F"/>
    <w:rsid w:val="005B3E71"/>
    <w:rsid w:val="005C45CE"/>
    <w:rsid w:val="005D495A"/>
    <w:rsid w:val="005F0D4C"/>
    <w:rsid w:val="005F1E0E"/>
    <w:rsid w:val="006126DA"/>
    <w:rsid w:val="006142BC"/>
    <w:rsid w:val="00615A9C"/>
    <w:rsid w:val="00621416"/>
    <w:rsid w:val="0062458A"/>
    <w:rsid w:val="00625B1D"/>
    <w:rsid w:val="006376B8"/>
    <w:rsid w:val="0065486B"/>
    <w:rsid w:val="00656C6F"/>
    <w:rsid w:val="006664CD"/>
    <w:rsid w:val="00667BDF"/>
    <w:rsid w:val="0067678A"/>
    <w:rsid w:val="00680322"/>
    <w:rsid w:val="00681EE6"/>
    <w:rsid w:val="00687FBC"/>
    <w:rsid w:val="00692214"/>
    <w:rsid w:val="006A0F58"/>
    <w:rsid w:val="006B0793"/>
    <w:rsid w:val="006B0E81"/>
    <w:rsid w:val="006C00F4"/>
    <w:rsid w:val="006C7088"/>
    <w:rsid w:val="006D082E"/>
    <w:rsid w:val="006D2900"/>
    <w:rsid w:val="006D2ECD"/>
    <w:rsid w:val="006E03E2"/>
    <w:rsid w:val="006E19FF"/>
    <w:rsid w:val="006E3A23"/>
    <w:rsid w:val="006E4BBF"/>
    <w:rsid w:val="00700A5C"/>
    <w:rsid w:val="007107BA"/>
    <w:rsid w:val="00726C83"/>
    <w:rsid w:val="007354EE"/>
    <w:rsid w:val="007360DF"/>
    <w:rsid w:val="00744B1B"/>
    <w:rsid w:val="00766E1C"/>
    <w:rsid w:val="00767200"/>
    <w:rsid w:val="0077471C"/>
    <w:rsid w:val="00795202"/>
    <w:rsid w:val="007A08E2"/>
    <w:rsid w:val="007A7875"/>
    <w:rsid w:val="007B5F8D"/>
    <w:rsid w:val="007C3D98"/>
    <w:rsid w:val="007C75C4"/>
    <w:rsid w:val="00801069"/>
    <w:rsid w:val="00813282"/>
    <w:rsid w:val="00820D0E"/>
    <w:rsid w:val="0082461C"/>
    <w:rsid w:val="008270BC"/>
    <w:rsid w:val="00834338"/>
    <w:rsid w:val="00846DB5"/>
    <w:rsid w:val="0085172F"/>
    <w:rsid w:val="008528D9"/>
    <w:rsid w:val="00887229"/>
    <w:rsid w:val="0089064A"/>
    <w:rsid w:val="00896989"/>
    <w:rsid w:val="008A0C5B"/>
    <w:rsid w:val="008B443B"/>
    <w:rsid w:val="008C4FE4"/>
    <w:rsid w:val="008D42FF"/>
    <w:rsid w:val="008E1DC7"/>
    <w:rsid w:val="008E6011"/>
    <w:rsid w:val="008E7540"/>
    <w:rsid w:val="008F4104"/>
    <w:rsid w:val="008F7C8C"/>
    <w:rsid w:val="00905DFA"/>
    <w:rsid w:val="0091458A"/>
    <w:rsid w:val="00947E3F"/>
    <w:rsid w:val="00953145"/>
    <w:rsid w:val="009643D0"/>
    <w:rsid w:val="00965F39"/>
    <w:rsid w:val="00972F6A"/>
    <w:rsid w:val="009829D1"/>
    <w:rsid w:val="00982ADF"/>
    <w:rsid w:val="00991F2C"/>
    <w:rsid w:val="009A0739"/>
    <w:rsid w:val="009B5F75"/>
    <w:rsid w:val="009C7009"/>
    <w:rsid w:val="009D2D90"/>
    <w:rsid w:val="009E15E4"/>
    <w:rsid w:val="009E763C"/>
    <w:rsid w:val="009F44E8"/>
    <w:rsid w:val="009F4E3A"/>
    <w:rsid w:val="00A079EC"/>
    <w:rsid w:val="00A12F50"/>
    <w:rsid w:val="00A21D50"/>
    <w:rsid w:val="00A22D32"/>
    <w:rsid w:val="00A24221"/>
    <w:rsid w:val="00A252C5"/>
    <w:rsid w:val="00A40D2A"/>
    <w:rsid w:val="00A47954"/>
    <w:rsid w:val="00A47AFE"/>
    <w:rsid w:val="00A50892"/>
    <w:rsid w:val="00A50DA1"/>
    <w:rsid w:val="00A515DF"/>
    <w:rsid w:val="00A63415"/>
    <w:rsid w:val="00A824BB"/>
    <w:rsid w:val="00A84BAD"/>
    <w:rsid w:val="00A90471"/>
    <w:rsid w:val="00A93E8B"/>
    <w:rsid w:val="00AA7F6F"/>
    <w:rsid w:val="00AB5255"/>
    <w:rsid w:val="00AC113A"/>
    <w:rsid w:val="00AC354C"/>
    <w:rsid w:val="00AD2A7D"/>
    <w:rsid w:val="00AD3B61"/>
    <w:rsid w:val="00AD749E"/>
    <w:rsid w:val="00AD770E"/>
    <w:rsid w:val="00AE7118"/>
    <w:rsid w:val="00AF6BC7"/>
    <w:rsid w:val="00B064BD"/>
    <w:rsid w:val="00B1181F"/>
    <w:rsid w:val="00B15D3D"/>
    <w:rsid w:val="00B16A8A"/>
    <w:rsid w:val="00B21210"/>
    <w:rsid w:val="00B23EEB"/>
    <w:rsid w:val="00B42D2D"/>
    <w:rsid w:val="00B5489C"/>
    <w:rsid w:val="00B7349E"/>
    <w:rsid w:val="00B74C05"/>
    <w:rsid w:val="00B77227"/>
    <w:rsid w:val="00B84EDC"/>
    <w:rsid w:val="00B93B5F"/>
    <w:rsid w:val="00B964D3"/>
    <w:rsid w:val="00BA1D90"/>
    <w:rsid w:val="00BA3378"/>
    <w:rsid w:val="00BB09DE"/>
    <w:rsid w:val="00BC7962"/>
    <w:rsid w:val="00BC7EA2"/>
    <w:rsid w:val="00BD20ED"/>
    <w:rsid w:val="00BD44EF"/>
    <w:rsid w:val="00BE1FEF"/>
    <w:rsid w:val="00BE242B"/>
    <w:rsid w:val="00BE24B7"/>
    <w:rsid w:val="00BE3143"/>
    <w:rsid w:val="00BE42DD"/>
    <w:rsid w:val="00BF2109"/>
    <w:rsid w:val="00BF2C39"/>
    <w:rsid w:val="00BF7ABF"/>
    <w:rsid w:val="00C02C2E"/>
    <w:rsid w:val="00C13B8C"/>
    <w:rsid w:val="00C20699"/>
    <w:rsid w:val="00C20968"/>
    <w:rsid w:val="00C364B9"/>
    <w:rsid w:val="00C465D9"/>
    <w:rsid w:val="00C62698"/>
    <w:rsid w:val="00C87812"/>
    <w:rsid w:val="00CA1CDA"/>
    <w:rsid w:val="00CA28AF"/>
    <w:rsid w:val="00CA5CCE"/>
    <w:rsid w:val="00CB0C05"/>
    <w:rsid w:val="00CB1316"/>
    <w:rsid w:val="00CC3316"/>
    <w:rsid w:val="00CC35B4"/>
    <w:rsid w:val="00CD08B5"/>
    <w:rsid w:val="00CD5E42"/>
    <w:rsid w:val="00CE1341"/>
    <w:rsid w:val="00D0004D"/>
    <w:rsid w:val="00D123A3"/>
    <w:rsid w:val="00D15B0E"/>
    <w:rsid w:val="00D16473"/>
    <w:rsid w:val="00D2178C"/>
    <w:rsid w:val="00D250E6"/>
    <w:rsid w:val="00D455C3"/>
    <w:rsid w:val="00D4744D"/>
    <w:rsid w:val="00D51F1E"/>
    <w:rsid w:val="00D561E1"/>
    <w:rsid w:val="00D63DF6"/>
    <w:rsid w:val="00D66278"/>
    <w:rsid w:val="00DA1462"/>
    <w:rsid w:val="00DA57DB"/>
    <w:rsid w:val="00DA63AB"/>
    <w:rsid w:val="00DC0E07"/>
    <w:rsid w:val="00DC4C17"/>
    <w:rsid w:val="00DD135F"/>
    <w:rsid w:val="00DD48D4"/>
    <w:rsid w:val="00DD6858"/>
    <w:rsid w:val="00DD7316"/>
    <w:rsid w:val="00DE22B8"/>
    <w:rsid w:val="00DF172F"/>
    <w:rsid w:val="00E1035D"/>
    <w:rsid w:val="00E15F27"/>
    <w:rsid w:val="00E20B4D"/>
    <w:rsid w:val="00E25B69"/>
    <w:rsid w:val="00E301A8"/>
    <w:rsid w:val="00E33A43"/>
    <w:rsid w:val="00E417C4"/>
    <w:rsid w:val="00E63128"/>
    <w:rsid w:val="00E76028"/>
    <w:rsid w:val="00E83DAA"/>
    <w:rsid w:val="00E8470D"/>
    <w:rsid w:val="00EA41BC"/>
    <w:rsid w:val="00EA6357"/>
    <w:rsid w:val="00EB2644"/>
    <w:rsid w:val="00EE3C87"/>
    <w:rsid w:val="00EE47C0"/>
    <w:rsid w:val="00EF2BCE"/>
    <w:rsid w:val="00EF6E9B"/>
    <w:rsid w:val="00F226FF"/>
    <w:rsid w:val="00F357E5"/>
    <w:rsid w:val="00F4024B"/>
    <w:rsid w:val="00F46A0C"/>
    <w:rsid w:val="00F46F70"/>
    <w:rsid w:val="00F5552D"/>
    <w:rsid w:val="00F632B1"/>
    <w:rsid w:val="00F64738"/>
    <w:rsid w:val="00F664AD"/>
    <w:rsid w:val="00F67C7C"/>
    <w:rsid w:val="00F70823"/>
    <w:rsid w:val="00F71FBD"/>
    <w:rsid w:val="00F72331"/>
    <w:rsid w:val="00F93B43"/>
    <w:rsid w:val="00F964D0"/>
    <w:rsid w:val="00FA2D64"/>
    <w:rsid w:val="00FA526B"/>
    <w:rsid w:val="00FB18F1"/>
    <w:rsid w:val="00FC7F26"/>
    <w:rsid w:val="00FD1F68"/>
    <w:rsid w:val="00FE31FA"/>
    <w:rsid w:val="00FE61C8"/>
    <w:rsid w:val="00FF1C0E"/>
    <w:rsid w:val="00FF6A19"/>
    <w:rsid w:val="00FF7D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3804E9-783B-47D7-80A8-3CC105E2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763C"/>
    <w:pPr>
      <w:spacing w:after="0" w:line="240" w:lineRule="auto"/>
      <w:jc w:val="both"/>
    </w:pPr>
    <w:rPr>
      <w:rFonts w:ascii="Calibri" w:eastAsia="Times New Roman" w:hAnsi="Calibri" w:cs="Times New Roman"/>
      <w:sz w:val="20"/>
      <w:szCs w:val="20"/>
      <w:lang w:eastAsia="it-IT"/>
    </w:rPr>
  </w:style>
  <w:style w:type="paragraph" w:styleId="Titolo1">
    <w:name w:val="heading 1"/>
    <w:aliases w:val="Parte,par. 1.1"/>
    <w:basedOn w:val="Titolo2"/>
    <w:next w:val="Normale"/>
    <w:link w:val="Titolo1Carattere"/>
    <w:autoRedefine/>
    <w:uiPriority w:val="9"/>
    <w:qFormat/>
    <w:rsid w:val="009D2D90"/>
    <w:pPr>
      <w:widowControl w:val="0"/>
      <w:numPr>
        <w:numId w:val="0"/>
      </w:numPr>
      <w:shd w:val="clear" w:color="auto" w:fill="C6D9F1"/>
      <w:spacing w:after="120"/>
      <w:jc w:val="center"/>
      <w:outlineLvl w:val="0"/>
    </w:pPr>
    <w:rPr>
      <w:rFonts w:eastAsia="Calibri" w:cs="Arial"/>
      <w:kern w:val="32"/>
      <w:sz w:val="28"/>
      <w:szCs w:val="21"/>
      <w:lang w:eastAsia="en-US"/>
    </w:rPr>
  </w:style>
  <w:style w:type="paragraph" w:styleId="Titolo2">
    <w:name w:val="heading 2"/>
    <w:aliases w:val="Articoli"/>
    <w:next w:val="Normale"/>
    <w:link w:val="Titolo2Carattere"/>
    <w:autoRedefine/>
    <w:qFormat/>
    <w:rsid w:val="00DD135F"/>
    <w:pPr>
      <w:numPr>
        <w:numId w:val="1"/>
      </w:numPr>
      <w:shd w:val="clear" w:color="auto" w:fill="DEEAF6" w:themeFill="accent1" w:themeFillTint="33"/>
      <w:spacing w:after="240" w:line="240" w:lineRule="auto"/>
      <w:ind w:left="284" w:hanging="284"/>
      <w:outlineLvl w:val="1"/>
    </w:pPr>
    <w:rPr>
      <w:rFonts w:ascii="Calibri" w:eastAsia="Times New Roman" w:hAnsi="Calibri" w:cs="Calibri"/>
      <w:b/>
      <w:bCs/>
      <w:lang w:eastAsia="it-IT"/>
    </w:rPr>
  </w:style>
  <w:style w:type="paragraph" w:styleId="Titolo7">
    <w:name w:val="heading 7"/>
    <w:basedOn w:val="Normale"/>
    <w:link w:val="Titolo7Carattere"/>
    <w:uiPriority w:val="1"/>
    <w:qFormat/>
    <w:rsid w:val="009E763C"/>
    <w:pPr>
      <w:widowControl w:val="0"/>
      <w:spacing w:before="51"/>
      <w:ind w:left="172"/>
      <w:jc w:val="left"/>
      <w:outlineLvl w:val="6"/>
    </w:pPr>
    <w:rPr>
      <w:rFonts w:eastAsia="Calibri" w:cstheme="minorBidi"/>
      <w:b/>
      <w:bCs/>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9E763C"/>
    <w:rPr>
      <w:color w:val="0000FF"/>
      <w:u w:val="single"/>
    </w:rPr>
  </w:style>
  <w:style w:type="paragraph" w:styleId="Nessunaspaziatura">
    <w:name w:val="No Spacing"/>
    <w:uiPriority w:val="1"/>
    <w:qFormat/>
    <w:rsid w:val="009E763C"/>
    <w:pPr>
      <w:spacing w:after="0" w:line="240" w:lineRule="auto"/>
      <w:jc w:val="both"/>
    </w:pPr>
    <w:rPr>
      <w:rFonts w:ascii="Times New Roman" w:eastAsia="Times New Roman" w:hAnsi="Times New Roman" w:cs="Times New Roman"/>
      <w:szCs w:val="24"/>
      <w:lang w:eastAsia="it-IT"/>
    </w:rPr>
  </w:style>
  <w:style w:type="character" w:customStyle="1" w:styleId="Titolo7Carattere">
    <w:name w:val="Titolo 7 Carattere"/>
    <w:basedOn w:val="Carpredefinitoparagrafo"/>
    <w:link w:val="Titolo7"/>
    <w:uiPriority w:val="1"/>
    <w:rsid w:val="009E763C"/>
    <w:rPr>
      <w:rFonts w:ascii="Calibri" w:eastAsia="Calibri" w:hAnsi="Calibri"/>
      <w:b/>
      <w:bCs/>
      <w:sz w:val="24"/>
      <w:szCs w:val="24"/>
      <w:lang w:val="en-US"/>
    </w:rPr>
  </w:style>
  <w:style w:type="table" w:styleId="Grigliatabella">
    <w:name w:val="Table Grid"/>
    <w:basedOn w:val="Tabellanormale"/>
    <w:uiPriority w:val="39"/>
    <w:rsid w:val="009E763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E763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E763C"/>
    <w:pPr>
      <w:widowControl w:val="0"/>
      <w:jc w:val="left"/>
    </w:pPr>
    <w:rPr>
      <w:rFonts w:asciiTheme="minorHAnsi" w:eastAsiaTheme="minorHAnsi" w:hAnsiTheme="minorHAnsi" w:cstheme="minorBidi"/>
      <w:sz w:val="22"/>
      <w:szCs w:val="22"/>
      <w:lang w:val="en-US" w:eastAsia="en-US"/>
    </w:rPr>
  </w:style>
  <w:style w:type="paragraph" w:styleId="Paragrafoelenco">
    <w:name w:val="List Paragraph"/>
    <w:basedOn w:val="Normale"/>
    <w:link w:val="ParagrafoelencoCarattere"/>
    <w:uiPriority w:val="34"/>
    <w:qFormat/>
    <w:rsid w:val="009E763C"/>
    <w:pPr>
      <w:widowControl w:val="0"/>
      <w:ind w:left="720"/>
      <w:contextualSpacing/>
      <w:jc w:val="left"/>
    </w:pPr>
    <w:rPr>
      <w:rFonts w:asciiTheme="minorHAnsi" w:eastAsiaTheme="minorHAnsi" w:hAnsiTheme="minorHAnsi" w:cstheme="minorBidi"/>
      <w:sz w:val="22"/>
      <w:szCs w:val="22"/>
      <w:lang w:val="en-US" w:eastAsia="en-US"/>
    </w:rPr>
  </w:style>
  <w:style w:type="paragraph" w:styleId="Corpodeltesto2">
    <w:name w:val="Body Text 2"/>
    <w:basedOn w:val="Normale"/>
    <w:link w:val="Corpodeltesto2Carattere"/>
    <w:semiHidden/>
    <w:unhideWhenUsed/>
    <w:rsid w:val="009E763C"/>
    <w:pPr>
      <w:spacing w:after="120" w:line="480" w:lineRule="auto"/>
    </w:pPr>
    <w:rPr>
      <w:rFonts w:ascii="Times New Roman" w:hAnsi="Times New Roman"/>
      <w:sz w:val="22"/>
      <w:szCs w:val="24"/>
    </w:rPr>
  </w:style>
  <w:style w:type="character" w:customStyle="1" w:styleId="Corpodeltesto2Carattere">
    <w:name w:val="Corpo del testo 2 Carattere"/>
    <w:basedOn w:val="Carpredefinitoparagrafo"/>
    <w:link w:val="Corpodeltesto2"/>
    <w:semiHidden/>
    <w:rsid w:val="009E763C"/>
    <w:rPr>
      <w:rFonts w:ascii="Times New Roman" w:eastAsia="Times New Roman" w:hAnsi="Times New Roman" w:cs="Times New Roman"/>
      <w:szCs w:val="24"/>
      <w:lang w:eastAsia="it-IT"/>
    </w:rPr>
  </w:style>
  <w:style w:type="paragraph" w:styleId="Corpotesto">
    <w:name w:val="Body Text"/>
    <w:basedOn w:val="Normale"/>
    <w:link w:val="CorpotestoCarattere"/>
    <w:uiPriority w:val="99"/>
    <w:unhideWhenUsed/>
    <w:rsid w:val="009E763C"/>
    <w:pPr>
      <w:widowControl w:val="0"/>
      <w:spacing w:after="120"/>
      <w:jc w:val="left"/>
    </w:pPr>
    <w:rPr>
      <w:rFonts w:asciiTheme="minorHAnsi" w:eastAsiaTheme="minorHAnsi" w:hAnsiTheme="minorHAnsi" w:cstheme="minorBidi"/>
      <w:sz w:val="22"/>
      <w:szCs w:val="22"/>
      <w:lang w:val="en-US" w:eastAsia="en-US"/>
    </w:rPr>
  </w:style>
  <w:style w:type="character" w:customStyle="1" w:styleId="CorpotestoCarattere">
    <w:name w:val="Corpo testo Carattere"/>
    <w:basedOn w:val="Carpredefinitoparagrafo"/>
    <w:link w:val="Corpotesto"/>
    <w:uiPriority w:val="99"/>
    <w:rsid w:val="009E763C"/>
    <w:rPr>
      <w:lang w:val="en-US"/>
    </w:rPr>
  </w:style>
  <w:style w:type="paragraph" w:customStyle="1" w:styleId="paragrafopuntato">
    <w:name w:val="paragrafo puntato"/>
    <w:basedOn w:val="Normale"/>
    <w:qFormat/>
    <w:rsid w:val="009E763C"/>
    <w:pPr>
      <w:spacing w:before="360" w:after="240"/>
    </w:pPr>
    <w:rPr>
      <w:rFonts w:ascii="Times New Roman" w:hAnsi="Times New Roman"/>
      <w:i/>
      <w:sz w:val="24"/>
      <w:szCs w:val="24"/>
      <w:lang w:eastAsia="en-US"/>
    </w:rPr>
  </w:style>
  <w:style w:type="paragraph" w:customStyle="1" w:styleId="Style0">
    <w:name w:val="Style0"/>
    <w:rsid w:val="009E763C"/>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it-IT"/>
    </w:rPr>
  </w:style>
  <w:style w:type="paragraph" w:styleId="Intestazione">
    <w:name w:val="header"/>
    <w:basedOn w:val="Normale"/>
    <w:link w:val="IntestazioneCarattere"/>
    <w:unhideWhenUsed/>
    <w:rsid w:val="009E763C"/>
    <w:pPr>
      <w:widowControl w:val="0"/>
      <w:tabs>
        <w:tab w:val="center" w:pos="4819"/>
        <w:tab w:val="right" w:pos="9638"/>
      </w:tabs>
      <w:jc w:val="left"/>
    </w:pPr>
    <w:rPr>
      <w:rFonts w:asciiTheme="minorHAnsi" w:eastAsiaTheme="minorHAnsi" w:hAnsiTheme="minorHAnsi" w:cstheme="minorBidi"/>
      <w:sz w:val="22"/>
      <w:szCs w:val="22"/>
      <w:lang w:val="en-US" w:eastAsia="en-US"/>
    </w:rPr>
  </w:style>
  <w:style w:type="character" w:customStyle="1" w:styleId="IntestazioneCarattere">
    <w:name w:val="Intestazione Carattere"/>
    <w:basedOn w:val="Carpredefinitoparagrafo"/>
    <w:link w:val="Intestazione"/>
    <w:uiPriority w:val="99"/>
    <w:rsid w:val="009E763C"/>
    <w:rPr>
      <w:lang w:val="en-US"/>
    </w:rPr>
  </w:style>
  <w:style w:type="paragraph" w:styleId="Pidipagina">
    <w:name w:val="footer"/>
    <w:basedOn w:val="Normale"/>
    <w:link w:val="PidipaginaCarattere"/>
    <w:uiPriority w:val="99"/>
    <w:unhideWhenUsed/>
    <w:rsid w:val="009E763C"/>
    <w:pPr>
      <w:widowControl w:val="0"/>
      <w:tabs>
        <w:tab w:val="center" w:pos="4819"/>
        <w:tab w:val="right" w:pos="9638"/>
      </w:tabs>
      <w:jc w:val="left"/>
    </w:pPr>
    <w:rPr>
      <w:rFonts w:asciiTheme="minorHAnsi" w:eastAsiaTheme="minorHAnsi" w:hAnsiTheme="minorHAnsi" w:cstheme="minorBidi"/>
      <w:sz w:val="22"/>
      <w:szCs w:val="22"/>
      <w:lang w:val="en-US" w:eastAsia="en-US"/>
    </w:rPr>
  </w:style>
  <w:style w:type="character" w:customStyle="1" w:styleId="PidipaginaCarattere">
    <w:name w:val="Piè di pagina Carattere"/>
    <w:basedOn w:val="Carpredefinitoparagrafo"/>
    <w:link w:val="Pidipagina"/>
    <w:uiPriority w:val="99"/>
    <w:rsid w:val="009E763C"/>
    <w:rPr>
      <w:lang w:val="en-US"/>
    </w:rPr>
  </w:style>
  <w:style w:type="character" w:customStyle="1" w:styleId="Titolo2Carattere">
    <w:name w:val="Titolo 2 Carattere"/>
    <w:aliases w:val="Articoli Carattere"/>
    <w:basedOn w:val="Carpredefinitoparagrafo"/>
    <w:link w:val="Titolo2"/>
    <w:rsid w:val="00DD135F"/>
    <w:rPr>
      <w:rFonts w:ascii="Calibri" w:eastAsia="Times New Roman" w:hAnsi="Calibri" w:cs="Calibri"/>
      <w:b/>
      <w:bCs/>
      <w:shd w:val="clear" w:color="auto" w:fill="DEEAF6" w:themeFill="accent1" w:themeFillTint="33"/>
      <w:lang w:eastAsia="it-IT"/>
    </w:rPr>
  </w:style>
  <w:style w:type="character" w:customStyle="1" w:styleId="Titolo1Carattere">
    <w:name w:val="Titolo 1 Carattere"/>
    <w:aliases w:val="Parte Carattere,par. 1.1 Carattere"/>
    <w:basedOn w:val="Carpredefinitoparagrafo"/>
    <w:link w:val="Titolo1"/>
    <w:uiPriority w:val="9"/>
    <w:rsid w:val="009D2D90"/>
    <w:rPr>
      <w:rFonts w:ascii="Calibri" w:eastAsia="Calibri" w:hAnsi="Calibri" w:cs="Arial"/>
      <w:b/>
      <w:bCs/>
      <w:kern w:val="32"/>
      <w:sz w:val="28"/>
      <w:szCs w:val="21"/>
      <w:shd w:val="clear" w:color="auto" w:fill="C6D9F1"/>
    </w:rPr>
  </w:style>
  <w:style w:type="character" w:styleId="Rimandocommento">
    <w:name w:val="annotation reference"/>
    <w:basedOn w:val="Carpredefinitoparagrafo"/>
    <w:uiPriority w:val="99"/>
    <w:semiHidden/>
    <w:unhideWhenUsed/>
    <w:rsid w:val="009D2D90"/>
    <w:rPr>
      <w:sz w:val="16"/>
      <w:szCs w:val="16"/>
    </w:rPr>
  </w:style>
  <w:style w:type="paragraph" w:styleId="Testocommento">
    <w:name w:val="annotation text"/>
    <w:basedOn w:val="Normale"/>
    <w:link w:val="TestocommentoCarattere"/>
    <w:uiPriority w:val="99"/>
    <w:semiHidden/>
    <w:unhideWhenUsed/>
    <w:rsid w:val="009D2D90"/>
  </w:style>
  <w:style w:type="character" w:customStyle="1" w:styleId="TestocommentoCarattere">
    <w:name w:val="Testo commento Carattere"/>
    <w:basedOn w:val="Carpredefinitoparagrafo"/>
    <w:link w:val="Testocommento"/>
    <w:uiPriority w:val="99"/>
    <w:semiHidden/>
    <w:rsid w:val="009D2D90"/>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D2D90"/>
    <w:rPr>
      <w:b/>
      <w:bCs/>
    </w:rPr>
  </w:style>
  <w:style w:type="character" w:customStyle="1" w:styleId="SoggettocommentoCarattere">
    <w:name w:val="Soggetto commento Carattere"/>
    <w:basedOn w:val="TestocommentoCarattere"/>
    <w:link w:val="Soggettocommento"/>
    <w:uiPriority w:val="99"/>
    <w:semiHidden/>
    <w:rsid w:val="009D2D90"/>
    <w:rPr>
      <w:rFonts w:ascii="Calibri" w:eastAsia="Times New Roman" w:hAnsi="Calibri" w:cs="Times New Roman"/>
      <w:b/>
      <w:bCs/>
      <w:sz w:val="20"/>
      <w:szCs w:val="20"/>
      <w:lang w:eastAsia="it-IT"/>
    </w:rPr>
  </w:style>
  <w:style w:type="paragraph" w:styleId="Testofumetto">
    <w:name w:val="Balloon Text"/>
    <w:basedOn w:val="Normale"/>
    <w:link w:val="TestofumettoCarattere"/>
    <w:uiPriority w:val="99"/>
    <w:semiHidden/>
    <w:unhideWhenUsed/>
    <w:rsid w:val="009D2D9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2D90"/>
    <w:rPr>
      <w:rFonts w:ascii="Segoe UI" w:eastAsia="Times New Roman" w:hAnsi="Segoe UI" w:cs="Segoe UI"/>
      <w:sz w:val="18"/>
      <w:szCs w:val="18"/>
      <w:lang w:eastAsia="it-IT"/>
    </w:rPr>
  </w:style>
  <w:style w:type="paragraph" w:customStyle="1" w:styleId="Stile1">
    <w:name w:val="Stile1"/>
    <w:basedOn w:val="Titolo1"/>
    <w:link w:val="Stile1Carattere"/>
    <w:qFormat/>
    <w:rsid w:val="0082461C"/>
    <w:pPr>
      <w:keepNext/>
      <w:keepLines/>
      <w:widowControl/>
      <w:shd w:val="clear" w:color="auto" w:fill="auto"/>
      <w:spacing w:before="400" w:after="40"/>
      <w:ind w:left="432" w:hanging="432"/>
      <w:jc w:val="both"/>
    </w:pPr>
    <w:rPr>
      <w:rFonts w:ascii="Arial" w:eastAsia="SimSun" w:hAnsi="Arial" w:cs="Times New Roman"/>
      <w:bCs w:val="0"/>
      <w:caps/>
      <w:kern w:val="0"/>
      <w:sz w:val="24"/>
      <w:szCs w:val="24"/>
      <w:lang w:eastAsia="it-IT"/>
    </w:rPr>
  </w:style>
  <w:style w:type="character" w:customStyle="1" w:styleId="Stile1Carattere">
    <w:name w:val="Stile1 Carattere"/>
    <w:basedOn w:val="Carpredefinitoparagrafo"/>
    <w:link w:val="Stile1"/>
    <w:rsid w:val="0082461C"/>
    <w:rPr>
      <w:rFonts w:ascii="Arial" w:eastAsia="SimSun" w:hAnsi="Arial" w:cs="Times New Roman"/>
      <w:b/>
      <w:caps/>
      <w:sz w:val="24"/>
      <w:szCs w:val="24"/>
      <w:lang w:eastAsia="it-IT"/>
    </w:rPr>
  </w:style>
  <w:style w:type="character" w:customStyle="1" w:styleId="ParagrafoelencoCarattere">
    <w:name w:val="Paragrafo elenco Carattere"/>
    <w:link w:val="Paragrafoelenco"/>
    <w:uiPriority w:val="34"/>
    <w:rsid w:val="0082461C"/>
    <w:rPr>
      <w:lang w:val="en-US"/>
    </w:rPr>
  </w:style>
  <w:style w:type="paragraph" w:styleId="Revisione">
    <w:name w:val="Revision"/>
    <w:hidden/>
    <w:uiPriority w:val="99"/>
    <w:semiHidden/>
    <w:rsid w:val="00D123A3"/>
    <w:pPr>
      <w:spacing w:after="0" w:line="240" w:lineRule="auto"/>
    </w:pPr>
    <w:rPr>
      <w:rFonts w:ascii="Calibri" w:eastAsia="Times New Roman" w:hAnsi="Calibri" w:cs="Times New Roman"/>
      <w:sz w:val="20"/>
      <w:szCs w:val="20"/>
      <w:lang w:eastAsia="it-IT"/>
    </w:rPr>
  </w:style>
  <w:style w:type="paragraph" w:styleId="Rientrocorpodeltesto">
    <w:name w:val="Body Text Indent"/>
    <w:basedOn w:val="Normale"/>
    <w:link w:val="RientrocorpodeltestoCarattere"/>
    <w:uiPriority w:val="99"/>
    <w:semiHidden/>
    <w:unhideWhenUsed/>
    <w:rsid w:val="009B5F7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B5F75"/>
    <w:rPr>
      <w:rFonts w:ascii="Calibri" w:eastAsia="Times New Roman" w:hAnsi="Calibri" w:cs="Times New Roman"/>
      <w:sz w:val="20"/>
      <w:szCs w:val="20"/>
      <w:lang w:eastAsia="it-IT"/>
    </w:rPr>
  </w:style>
  <w:style w:type="paragraph" w:styleId="Mappadocumento">
    <w:name w:val="Document Map"/>
    <w:basedOn w:val="Normale"/>
    <w:link w:val="MappadocumentoCarattere"/>
    <w:uiPriority w:val="99"/>
    <w:semiHidden/>
    <w:unhideWhenUsed/>
    <w:rsid w:val="006142BC"/>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6142BC"/>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354EE"/>
  </w:style>
  <w:style w:type="character" w:customStyle="1" w:styleId="TestonotaapidipaginaCarattere">
    <w:name w:val="Testo nota a piè di pagina Carattere"/>
    <w:basedOn w:val="Carpredefinitoparagrafo"/>
    <w:link w:val="Testonotaapidipagina"/>
    <w:uiPriority w:val="99"/>
    <w:semiHidden/>
    <w:rsid w:val="007354EE"/>
    <w:rPr>
      <w:rFonts w:ascii="Calibri" w:eastAsia="Times New Roman" w:hAnsi="Calibri" w:cs="Times New Roman"/>
      <w:sz w:val="20"/>
      <w:szCs w:val="20"/>
      <w:lang w:eastAsia="it-IT"/>
    </w:rPr>
  </w:style>
  <w:style w:type="character" w:styleId="Rimandonotaapidipagina">
    <w:name w:val="footnote reference"/>
    <w:basedOn w:val="Carpredefinitoparagrafo"/>
    <w:uiPriority w:val="99"/>
    <w:semiHidden/>
    <w:unhideWhenUsed/>
    <w:rsid w:val="007354EE"/>
    <w:rPr>
      <w:vertAlign w:val="superscript"/>
    </w:rPr>
  </w:style>
  <w:style w:type="paragraph" w:customStyle="1" w:styleId="Default">
    <w:name w:val="Default"/>
    <w:rsid w:val="00FF7D02"/>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FF7D02"/>
    <w:rPr>
      <w:rFonts w:cstheme="minorBidi"/>
      <w:color w:val="auto"/>
    </w:rPr>
  </w:style>
  <w:style w:type="paragraph" w:customStyle="1" w:styleId="CM3">
    <w:name w:val="CM3"/>
    <w:basedOn w:val="Default"/>
    <w:next w:val="Default"/>
    <w:uiPriority w:val="99"/>
    <w:rsid w:val="00FF7D02"/>
    <w:rPr>
      <w:rFonts w:cstheme="minorBidi"/>
      <w:color w:val="auto"/>
    </w:rPr>
  </w:style>
  <w:style w:type="paragraph" w:customStyle="1" w:styleId="CM4">
    <w:name w:val="CM4"/>
    <w:basedOn w:val="Default"/>
    <w:next w:val="Default"/>
    <w:uiPriority w:val="99"/>
    <w:rsid w:val="00FF7D02"/>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717921">
      <w:bodyDiv w:val="1"/>
      <w:marLeft w:val="0"/>
      <w:marRight w:val="0"/>
      <w:marTop w:val="0"/>
      <w:marBottom w:val="0"/>
      <w:divBdr>
        <w:top w:val="none" w:sz="0" w:space="0" w:color="auto"/>
        <w:left w:val="none" w:sz="0" w:space="0" w:color="auto"/>
        <w:bottom w:val="none" w:sz="0" w:space="0" w:color="auto"/>
        <w:right w:val="none" w:sz="0" w:space="0" w:color="auto"/>
      </w:divBdr>
    </w:div>
    <w:div w:id="1301693115">
      <w:bodyDiv w:val="1"/>
      <w:marLeft w:val="0"/>
      <w:marRight w:val="0"/>
      <w:marTop w:val="0"/>
      <w:marBottom w:val="0"/>
      <w:divBdr>
        <w:top w:val="none" w:sz="0" w:space="0" w:color="auto"/>
        <w:left w:val="none" w:sz="0" w:space="0" w:color="auto"/>
        <w:bottom w:val="none" w:sz="0" w:space="0" w:color="auto"/>
        <w:right w:val="none" w:sz="0" w:space="0" w:color="auto"/>
      </w:divBdr>
    </w:div>
    <w:div w:id="185364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BB11B-DECC-4086-8B00-18E47787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8</Pages>
  <Words>1267</Words>
  <Characters>7228</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direttore@langheroeroleader.it</dc:creator>
  <cp:keywords/>
  <dc:description/>
  <cp:lastModifiedBy>Silvia</cp:lastModifiedBy>
  <cp:revision>41</cp:revision>
  <cp:lastPrinted>2017-05-25T17:08:00Z</cp:lastPrinted>
  <dcterms:created xsi:type="dcterms:W3CDTF">2018-12-03T16:35:00Z</dcterms:created>
  <dcterms:modified xsi:type="dcterms:W3CDTF">2019-01-14T09:59:00Z</dcterms:modified>
</cp:coreProperties>
</file>